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053" w:rsidRDefault="00150053" w:rsidP="00150053">
      <w:pPr>
        <w:spacing w:after="120"/>
        <w:rPr>
          <w:rFonts w:ascii="Times New Roman" w:hAnsi="Times New Roman" w:cs="Times New Roman"/>
          <w:sz w:val="20"/>
          <w:szCs w:val="20"/>
        </w:rPr>
      </w:pPr>
      <w:r>
        <w:rPr>
          <w:rFonts w:ascii="Times New Roman" w:hAnsi="Times New Roman" w:cs="Times New Roman"/>
          <w:sz w:val="20"/>
          <w:szCs w:val="20"/>
        </w:rPr>
        <w:t xml:space="preserve">Name: Robert </w:t>
      </w:r>
      <w:proofErr w:type="spellStart"/>
      <w:r>
        <w:rPr>
          <w:rFonts w:ascii="Times New Roman" w:hAnsi="Times New Roman" w:cs="Times New Roman"/>
          <w:sz w:val="20"/>
          <w:szCs w:val="20"/>
        </w:rPr>
        <w:t>Fisette</w:t>
      </w:r>
      <w:proofErr w:type="spellEnd"/>
    </w:p>
    <w:p w:rsidR="00150053" w:rsidRDefault="00150053" w:rsidP="00150053">
      <w:pPr>
        <w:spacing w:after="120"/>
        <w:rPr>
          <w:rFonts w:ascii="Times New Roman" w:hAnsi="Times New Roman" w:cs="Times New Roman"/>
          <w:sz w:val="20"/>
          <w:szCs w:val="20"/>
        </w:rPr>
      </w:pPr>
      <w:r>
        <w:rPr>
          <w:rFonts w:ascii="Times New Roman" w:hAnsi="Times New Roman" w:cs="Times New Roman"/>
          <w:sz w:val="20"/>
          <w:szCs w:val="20"/>
        </w:rPr>
        <w:t xml:space="preserve">Student Project: </w:t>
      </w:r>
      <w:r w:rsidR="009853EF">
        <w:rPr>
          <w:rFonts w:ascii="Times New Roman" w:hAnsi="Times New Roman" w:cs="Times New Roman"/>
          <w:sz w:val="20"/>
          <w:szCs w:val="20"/>
        </w:rPr>
        <w:t xml:space="preserve">Magnus </w:t>
      </w:r>
      <w:proofErr w:type="spellStart"/>
      <w:r w:rsidR="009853EF">
        <w:rPr>
          <w:rFonts w:ascii="Times New Roman" w:hAnsi="Times New Roman" w:cs="Times New Roman"/>
          <w:sz w:val="20"/>
          <w:szCs w:val="20"/>
        </w:rPr>
        <w:t>Carlsen’s</w:t>
      </w:r>
      <w:proofErr w:type="spellEnd"/>
      <w:r w:rsidR="009853EF">
        <w:rPr>
          <w:rFonts w:ascii="Times New Roman" w:hAnsi="Times New Roman" w:cs="Times New Roman"/>
          <w:sz w:val="20"/>
          <w:szCs w:val="20"/>
        </w:rPr>
        <w:t xml:space="preserve"> Chess </w:t>
      </w:r>
      <w:proofErr w:type="spellStart"/>
      <w:r w:rsidR="009853EF">
        <w:rPr>
          <w:rFonts w:ascii="Times New Roman" w:hAnsi="Times New Roman" w:cs="Times New Roman"/>
          <w:sz w:val="20"/>
          <w:szCs w:val="20"/>
        </w:rPr>
        <w:t>Elo</w:t>
      </w:r>
      <w:proofErr w:type="spellEnd"/>
      <w:r w:rsidR="009853EF">
        <w:rPr>
          <w:rFonts w:ascii="Times New Roman" w:hAnsi="Times New Roman" w:cs="Times New Roman"/>
          <w:sz w:val="20"/>
          <w:szCs w:val="20"/>
        </w:rPr>
        <w:t xml:space="preserve"> Rating</w:t>
      </w:r>
    </w:p>
    <w:p w:rsidR="00150053" w:rsidRDefault="00150053" w:rsidP="00150053">
      <w:pPr>
        <w:spacing w:after="120"/>
        <w:rPr>
          <w:rFonts w:ascii="Times New Roman" w:hAnsi="Times New Roman" w:cs="Times New Roman"/>
          <w:sz w:val="20"/>
          <w:szCs w:val="20"/>
        </w:rPr>
      </w:pPr>
      <w:r>
        <w:rPr>
          <w:rFonts w:ascii="Times New Roman" w:hAnsi="Times New Roman" w:cs="Times New Roman"/>
          <w:sz w:val="20"/>
          <w:szCs w:val="20"/>
        </w:rPr>
        <w:t>Session: Summer 2016</w:t>
      </w:r>
    </w:p>
    <w:p w:rsidR="00150053" w:rsidRDefault="009853EF" w:rsidP="00150053">
      <w:pPr>
        <w:spacing w:after="120"/>
        <w:rPr>
          <w:rFonts w:ascii="Times New Roman" w:hAnsi="Times New Roman" w:cs="Times New Roman"/>
          <w:sz w:val="20"/>
          <w:szCs w:val="20"/>
        </w:rPr>
      </w:pPr>
      <w:r>
        <w:rPr>
          <w:rFonts w:ascii="Times New Roman" w:hAnsi="Times New Roman" w:cs="Times New Roman"/>
          <w:sz w:val="20"/>
          <w:szCs w:val="20"/>
        </w:rPr>
        <w:t>Course: Time Series Analysis</w:t>
      </w:r>
    </w:p>
    <w:p w:rsidR="00150053" w:rsidRPr="00067A2F" w:rsidRDefault="00150053" w:rsidP="00150053">
      <w:pPr>
        <w:spacing w:after="120"/>
        <w:jc w:val="center"/>
        <w:rPr>
          <w:rFonts w:ascii="Times New Roman" w:hAnsi="Times New Roman" w:cs="Times New Roman"/>
          <w:b/>
          <w:sz w:val="24"/>
          <w:szCs w:val="24"/>
        </w:rPr>
      </w:pPr>
      <w:r w:rsidRPr="00067A2F">
        <w:rPr>
          <w:rFonts w:ascii="Times New Roman" w:hAnsi="Times New Roman" w:cs="Times New Roman"/>
          <w:b/>
          <w:sz w:val="24"/>
          <w:szCs w:val="24"/>
        </w:rPr>
        <w:t>Introduction</w:t>
      </w:r>
    </w:p>
    <w:p w:rsidR="00705500" w:rsidRDefault="00150053" w:rsidP="00705500">
      <w:pPr>
        <w:spacing w:after="120"/>
        <w:rPr>
          <w:rFonts w:ascii="Times New Roman" w:hAnsi="Times New Roman" w:cs="Times New Roman"/>
          <w:sz w:val="20"/>
          <w:szCs w:val="20"/>
        </w:rPr>
      </w:pPr>
      <w:r>
        <w:rPr>
          <w:rFonts w:ascii="Times New Roman" w:hAnsi="Times New Roman" w:cs="Times New Roman"/>
          <w:sz w:val="20"/>
          <w:szCs w:val="20"/>
        </w:rPr>
        <w:tab/>
      </w:r>
      <w:r w:rsidR="009853EF">
        <w:rPr>
          <w:rFonts w:ascii="Times New Roman" w:hAnsi="Times New Roman" w:cs="Times New Roman"/>
          <w:sz w:val="20"/>
          <w:szCs w:val="20"/>
        </w:rPr>
        <w:t xml:space="preserve">The playing strengths of chess players are measured by ratings in an </w:t>
      </w:r>
      <w:proofErr w:type="spellStart"/>
      <w:r w:rsidR="009853EF">
        <w:rPr>
          <w:rFonts w:ascii="Times New Roman" w:hAnsi="Times New Roman" w:cs="Times New Roman"/>
          <w:sz w:val="20"/>
          <w:szCs w:val="20"/>
        </w:rPr>
        <w:t>Elo</w:t>
      </w:r>
      <w:proofErr w:type="spellEnd"/>
      <w:r w:rsidR="009853EF">
        <w:rPr>
          <w:rFonts w:ascii="Times New Roman" w:hAnsi="Times New Roman" w:cs="Times New Roman"/>
          <w:sz w:val="20"/>
          <w:szCs w:val="20"/>
        </w:rPr>
        <w:t xml:space="preserve"> rating system.  Each player is assigned a rating based on their full playing history and their results against other rated players.  For comparison, a “Master” might normally have a rating of about 2300-2400, an “International Master” about 2400-2550, and an “International Grandmaster” about 2550+.  Since July 2012, the International Chess Federation (FIDE) has published full lists each month of all internationally rated players.</w:t>
      </w:r>
    </w:p>
    <w:p w:rsidR="009853EF" w:rsidRDefault="009853EF" w:rsidP="00705500">
      <w:pPr>
        <w:spacing w:after="120"/>
        <w:rPr>
          <w:rFonts w:ascii="Times New Roman" w:hAnsi="Times New Roman" w:cs="Times New Roman"/>
          <w:sz w:val="20"/>
          <w:szCs w:val="20"/>
        </w:rPr>
      </w:pPr>
      <w:r>
        <w:rPr>
          <w:rFonts w:ascii="Times New Roman" w:hAnsi="Times New Roman" w:cs="Times New Roman"/>
          <w:sz w:val="20"/>
          <w:szCs w:val="20"/>
        </w:rPr>
        <w:tab/>
        <w:t xml:space="preserve">Magnus </w:t>
      </w:r>
      <w:proofErr w:type="spellStart"/>
      <w:r>
        <w:rPr>
          <w:rFonts w:ascii="Times New Roman" w:hAnsi="Times New Roman" w:cs="Times New Roman"/>
          <w:sz w:val="20"/>
          <w:szCs w:val="20"/>
        </w:rPr>
        <w:t>Carlsen</w:t>
      </w:r>
      <w:proofErr w:type="spellEnd"/>
      <w:r>
        <w:rPr>
          <w:rFonts w:ascii="Times New Roman" w:hAnsi="Times New Roman" w:cs="Times New Roman"/>
          <w:sz w:val="20"/>
          <w:szCs w:val="20"/>
        </w:rPr>
        <w:t xml:space="preserve"> of Norway became an International Grandmaster in 2004 at the age of 13.  He became World Champion in 2013 at the age of 22, and is the current reigning World Champion.  This project attempts to develop an ARIMA model of Magnus’ </w:t>
      </w:r>
      <w:r w:rsidR="00B4687F">
        <w:rPr>
          <w:rFonts w:ascii="Times New Roman" w:hAnsi="Times New Roman" w:cs="Times New Roman"/>
          <w:sz w:val="20"/>
          <w:szCs w:val="20"/>
        </w:rPr>
        <w:t>chess rating since July 2012.</w:t>
      </w:r>
    </w:p>
    <w:p w:rsidR="00067A2F" w:rsidRDefault="00067A2F" w:rsidP="00067A2F">
      <w:pPr>
        <w:spacing w:after="120"/>
        <w:jc w:val="center"/>
        <w:rPr>
          <w:rFonts w:ascii="Times New Roman" w:hAnsi="Times New Roman" w:cs="Times New Roman"/>
          <w:sz w:val="24"/>
          <w:szCs w:val="24"/>
        </w:rPr>
      </w:pPr>
      <w:r>
        <w:rPr>
          <w:rFonts w:ascii="Times New Roman" w:hAnsi="Times New Roman" w:cs="Times New Roman"/>
          <w:b/>
          <w:sz w:val="24"/>
          <w:szCs w:val="24"/>
        </w:rPr>
        <w:t>Data</w:t>
      </w:r>
      <w:r w:rsidR="009966D6">
        <w:rPr>
          <w:rFonts w:ascii="Times New Roman" w:hAnsi="Times New Roman" w:cs="Times New Roman"/>
          <w:b/>
          <w:sz w:val="24"/>
          <w:szCs w:val="24"/>
        </w:rPr>
        <w:t xml:space="preserve"> and Assumptions</w:t>
      </w:r>
    </w:p>
    <w:p w:rsidR="00E22704" w:rsidRDefault="00067A2F" w:rsidP="00067A2F">
      <w:pPr>
        <w:spacing w:after="120"/>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0"/>
          <w:szCs w:val="20"/>
        </w:rPr>
        <w:t xml:space="preserve">For this analysis, I have downloaded </w:t>
      </w:r>
      <w:r w:rsidR="004B5297">
        <w:rPr>
          <w:rFonts w:ascii="Times New Roman" w:hAnsi="Times New Roman" w:cs="Times New Roman"/>
          <w:sz w:val="20"/>
          <w:szCs w:val="20"/>
        </w:rPr>
        <w:t>all</w:t>
      </w:r>
      <w:r>
        <w:rPr>
          <w:rFonts w:ascii="Times New Roman" w:hAnsi="Times New Roman" w:cs="Times New Roman"/>
          <w:sz w:val="20"/>
          <w:szCs w:val="20"/>
        </w:rPr>
        <w:t xml:space="preserve"> ratings lists </w:t>
      </w:r>
      <w:r w:rsidR="004B5297">
        <w:rPr>
          <w:rFonts w:ascii="Times New Roman" w:hAnsi="Times New Roman" w:cs="Times New Roman"/>
          <w:sz w:val="20"/>
          <w:szCs w:val="20"/>
        </w:rPr>
        <w:t xml:space="preserve">since July 2012 </w:t>
      </w:r>
      <w:r w:rsidR="00E22704">
        <w:rPr>
          <w:rFonts w:ascii="Times New Roman" w:hAnsi="Times New Roman" w:cs="Times New Roman"/>
          <w:sz w:val="20"/>
          <w:szCs w:val="20"/>
        </w:rPr>
        <w:t xml:space="preserve">for the top 100 players in the world </w:t>
      </w:r>
      <w:r>
        <w:rPr>
          <w:rFonts w:ascii="Times New Roman" w:hAnsi="Times New Roman" w:cs="Times New Roman"/>
          <w:sz w:val="20"/>
          <w:szCs w:val="20"/>
        </w:rPr>
        <w:t xml:space="preserve">from </w:t>
      </w:r>
      <w:hyperlink r:id="rId5" w:history="1">
        <w:r w:rsidRPr="004B0C18">
          <w:rPr>
            <w:rStyle w:val="Hyperlink"/>
            <w:rFonts w:ascii="Times New Roman" w:hAnsi="Times New Roman" w:cs="Times New Roman"/>
            <w:sz w:val="20"/>
            <w:szCs w:val="20"/>
          </w:rPr>
          <w:t>https://ratings.fide.com</w:t>
        </w:r>
      </w:hyperlink>
      <w:r>
        <w:rPr>
          <w:rFonts w:ascii="Times New Roman" w:hAnsi="Times New Roman" w:cs="Times New Roman"/>
          <w:sz w:val="20"/>
          <w:szCs w:val="20"/>
        </w:rPr>
        <w:t>.  These results are compiled in the workbook “</w:t>
      </w:r>
      <w:r w:rsidR="004B5297">
        <w:rPr>
          <w:rFonts w:ascii="Times New Roman" w:hAnsi="Times New Roman" w:cs="Times New Roman"/>
          <w:sz w:val="20"/>
          <w:szCs w:val="20"/>
        </w:rPr>
        <w:t>Time Series</w:t>
      </w:r>
      <w:r>
        <w:rPr>
          <w:rFonts w:ascii="Times New Roman" w:hAnsi="Times New Roman" w:cs="Times New Roman"/>
          <w:sz w:val="20"/>
          <w:szCs w:val="20"/>
        </w:rPr>
        <w:t xml:space="preserve"> Project – Fisette.xlsb,” in the blue tabs to the right. Each tab i</w:t>
      </w:r>
      <w:r w:rsidR="009D047F">
        <w:rPr>
          <w:rFonts w:ascii="Times New Roman" w:hAnsi="Times New Roman" w:cs="Times New Roman"/>
          <w:sz w:val="20"/>
          <w:szCs w:val="20"/>
        </w:rPr>
        <w:t>s named according to the month and</w:t>
      </w:r>
      <w:r>
        <w:rPr>
          <w:rFonts w:ascii="Times New Roman" w:hAnsi="Times New Roman" w:cs="Times New Roman"/>
          <w:sz w:val="20"/>
          <w:szCs w:val="20"/>
        </w:rPr>
        <w:t xml:space="preserve"> year of the published rating list.</w:t>
      </w:r>
    </w:p>
    <w:p w:rsidR="003D62D3" w:rsidRDefault="003D62D3" w:rsidP="00067A2F">
      <w:pPr>
        <w:spacing w:after="120"/>
        <w:rPr>
          <w:rFonts w:ascii="Times New Roman" w:hAnsi="Times New Roman" w:cs="Times New Roman"/>
          <w:sz w:val="20"/>
          <w:szCs w:val="20"/>
        </w:rPr>
      </w:pPr>
      <w:r>
        <w:rPr>
          <w:rFonts w:ascii="Times New Roman" w:hAnsi="Times New Roman" w:cs="Times New Roman"/>
          <w:sz w:val="20"/>
          <w:szCs w:val="20"/>
        </w:rPr>
        <w:tab/>
        <w:t>I have restricted the time series to Magnus’ quarterly rating as of 1/1, 4/1, 7/1, and 10/1 of each year.  I attempted to construct a model based on the monthly rating, since this would allow me to use a greater amount of data.</w:t>
      </w:r>
      <w:r w:rsidR="002C7CC2">
        <w:rPr>
          <w:rFonts w:ascii="Times New Roman" w:hAnsi="Times New Roman" w:cs="Times New Roman"/>
          <w:sz w:val="20"/>
          <w:szCs w:val="20"/>
        </w:rPr>
        <w:t xml:space="preserve">  However, in many months Magnus did not play any rated games, and therefore his rating did not change for explicitly non-random reasons.</w:t>
      </w:r>
    </w:p>
    <w:p w:rsidR="009966D6" w:rsidRDefault="009966D6" w:rsidP="00067A2F">
      <w:pPr>
        <w:spacing w:after="120"/>
        <w:rPr>
          <w:rFonts w:ascii="Times New Roman" w:hAnsi="Times New Roman" w:cs="Times New Roman"/>
          <w:sz w:val="20"/>
          <w:szCs w:val="20"/>
        </w:rPr>
      </w:pPr>
      <w:r>
        <w:rPr>
          <w:rFonts w:ascii="Times New Roman" w:hAnsi="Times New Roman" w:cs="Times New Roman"/>
          <w:sz w:val="20"/>
          <w:szCs w:val="20"/>
        </w:rPr>
        <w:tab/>
        <w:t>I have also not considered seasonal effects in this work.  While it may be that some seasonal patterns would be uncovered by such an analysis (based on similar results in similar recurring tournaments where Magnus tends to feel at his best, e.g.), I have assumed that in general, the rating is an unbiased estimator of his playing strength, and should therefore differ from his “true” rating by a random fluctuation at any given moment.</w:t>
      </w:r>
    </w:p>
    <w:p w:rsidR="0007041D" w:rsidRDefault="00BA1DA9" w:rsidP="0007041D">
      <w:pPr>
        <w:spacing w:after="120"/>
        <w:jc w:val="center"/>
        <w:rPr>
          <w:rFonts w:ascii="Times New Roman" w:hAnsi="Times New Roman" w:cs="Times New Roman"/>
          <w:b/>
          <w:sz w:val="24"/>
          <w:szCs w:val="24"/>
        </w:rPr>
      </w:pPr>
      <w:r>
        <w:rPr>
          <w:rFonts w:ascii="Times New Roman" w:hAnsi="Times New Roman" w:cs="Times New Roman"/>
          <w:b/>
          <w:sz w:val="24"/>
          <w:szCs w:val="24"/>
        </w:rPr>
        <w:t>Investigation</w:t>
      </w:r>
    </w:p>
    <w:p w:rsidR="00820E00" w:rsidRDefault="005277E5" w:rsidP="005277E5">
      <w:pPr>
        <w:spacing w:after="120"/>
        <w:rPr>
          <w:rFonts w:ascii="Times New Roman" w:hAnsi="Times New Roman" w:cs="Times New Roman"/>
          <w:sz w:val="20"/>
          <w:szCs w:val="20"/>
        </w:rPr>
      </w:pPr>
      <w:r>
        <w:rPr>
          <w:rFonts w:ascii="Times New Roman" w:hAnsi="Times New Roman" w:cs="Times New Roman"/>
          <w:b/>
          <w:sz w:val="24"/>
          <w:szCs w:val="24"/>
        </w:rPr>
        <w:tab/>
      </w:r>
      <w:r>
        <w:rPr>
          <w:rFonts w:ascii="Times New Roman" w:hAnsi="Times New Roman" w:cs="Times New Roman"/>
          <w:sz w:val="20"/>
          <w:szCs w:val="20"/>
        </w:rPr>
        <w:t xml:space="preserve">The following plots show plots of Magnus’ </w:t>
      </w:r>
      <w:bookmarkStart w:id="0" w:name="_GoBack"/>
      <w:r>
        <w:rPr>
          <w:rFonts w:ascii="Times New Roman" w:hAnsi="Times New Roman" w:cs="Times New Roman"/>
          <w:sz w:val="20"/>
          <w:szCs w:val="20"/>
        </w:rPr>
        <w:t>rating</w:t>
      </w:r>
      <w:bookmarkEnd w:id="0"/>
      <w:r>
        <w:rPr>
          <w:rFonts w:ascii="Times New Roman" w:hAnsi="Times New Roman" w:cs="Times New Roman"/>
          <w:sz w:val="20"/>
          <w:szCs w:val="20"/>
        </w:rPr>
        <w:t>, first difference of rating, and second difference of rating by quarter since July 2012.</w:t>
      </w:r>
    </w:p>
    <w:tbl>
      <w:tblPr>
        <w:tblW w:w="10614" w:type="dxa"/>
        <w:jc w:val="center"/>
        <w:tblLook w:val="04A0" w:firstRow="1" w:lastRow="0" w:firstColumn="1" w:lastColumn="0" w:noHBand="0" w:noVBand="1"/>
      </w:tblPr>
      <w:tblGrid>
        <w:gridCol w:w="851"/>
        <w:gridCol w:w="651"/>
        <w:gridCol w:w="651"/>
        <w:gridCol w:w="651"/>
        <w:gridCol w:w="651"/>
        <w:gridCol w:w="651"/>
        <w:gridCol w:w="651"/>
        <w:gridCol w:w="651"/>
        <w:gridCol w:w="651"/>
        <w:gridCol w:w="651"/>
        <w:gridCol w:w="651"/>
        <w:gridCol w:w="651"/>
        <w:gridCol w:w="651"/>
        <w:gridCol w:w="651"/>
        <w:gridCol w:w="651"/>
        <w:gridCol w:w="651"/>
      </w:tblGrid>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anchor distT="0" distB="0" distL="114300" distR="114300" simplePos="0" relativeHeight="251659264" behindDoc="0" locked="0" layoutInCell="1" allowOverlap="1" wp14:anchorId="7F850DAE" wp14:editId="2E6ABF61">
                  <wp:simplePos x="0" y="0"/>
                  <wp:positionH relativeFrom="column">
                    <wp:posOffset>304800</wp:posOffset>
                  </wp:positionH>
                  <wp:positionV relativeFrom="paragraph">
                    <wp:posOffset>66675</wp:posOffset>
                  </wp:positionV>
                  <wp:extent cx="1914525" cy="3219450"/>
                  <wp:effectExtent l="0" t="0" r="9525" b="19050"/>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Pr>
                <w:rFonts w:ascii="Arial" w:eastAsia="Times New Roman" w:hAnsi="Arial" w:cs="Arial"/>
                <w:noProof/>
                <w:color w:val="000000"/>
                <w:sz w:val="20"/>
                <w:szCs w:val="20"/>
              </w:rPr>
              <w:drawing>
                <wp:anchor distT="0" distB="0" distL="114300" distR="114300" simplePos="0" relativeHeight="251660288" behindDoc="0" locked="0" layoutInCell="1" allowOverlap="1" wp14:anchorId="503CA6C2" wp14:editId="41D634FF">
                  <wp:simplePos x="0" y="0"/>
                  <wp:positionH relativeFrom="column">
                    <wp:posOffset>2324100</wp:posOffset>
                  </wp:positionH>
                  <wp:positionV relativeFrom="paragraph">
                    <wp:posOffset>85725</wp:posOffset>
                  </wp:positionV>
                  <wp:extent cx="2009775" cy="3200400"/>
                  <wp:effectExtent l="0" t="0" r="9525" b="19050"/>
                  <wp:wrapNone/>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Pr>
                <w:rFonts w:ascii="Arial" w:eastAsia="Times New Roman" w:hAnsi="Arial" w:cs="Arial"/>
                <w:noProof/>
                <w:color w:val="000000"/>
                <w:sz w:val="20"/>
                <w:szCs w:val="20"/>
              </w:rPr>
              <w:drawing>
                <wp:anchor distT="0" distB="0" distL="114300" distR="114300" simplePos="0" relativeHeight="251661312" behindDoc="0" locked="0" layoutInCell="1" allowOverlap="1" wp14:anchorId="51BBF047" wp14:editId="31FDC53C">
                  <wp:simplePos x="0" y="0"/>
                  <wp:positionH relativeFrom="column">
                    <wp:posOffset>4400550</wp:posOffset>
                  </wp:positionH>
                  <wp:positionV relativeFrom="paragraph">
                    <wp:posOffset>114300</wp:posOffset>
                  </wp:positionV>
                  <wp:extent cx="1981200" cy="3133725"/>
                  <wp:effectExtent l="0" t="0" r="19050" b="9525"/>
                  <wp:wrapNone/>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bl>
            <w:tblPr>
              <w:tblW w:w="635" w:type="dxa"/>
              <w:tblCellSpacing w:w="0" w:type="dxa"/>
              <w:tblCellMar>
                <w:left w:w="0" w:type="dxa"/>
                <w:right w:w="0" w:type="dxa"/>
              </w:tblCellMar>
              <w:tblLook w:val="04A0" w:firstRow="1" w:lastRow="0" w:firstColumn="1" w:lastColumn="0" w:noHBand="0" w:noVBand="1"/>
            </w:tblPr>
            <w:tblGrid>
              <w:gridCol w:w="635"/>
            </w:tblGrid>
            <w:tr w:rsidR="005277E5" w:rsidRPr="005277E5" w:rsidTr="005277E5">
              <w:trPr>
                <w:trHeight w:val="223"/>
                <w:tblCellSpacing w:w="0" w:type="dxa"/>
              </w:trPr>
              <w:tc>
                <w:tcPr>
                  <w:tcW w:w="635"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bl>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r w:rsidR="005277E5" w:rsidRPr="005277E5" w:rsidTr="005277E5">
        <w:trPr>
          <w:trHeight w:val="223"/>
          <w:jc w:val="center"/>
        </w:trPr>
        <w:tc>
          <w:tcPr>
            <w:tcW w:w="849"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c>
          <w:tcPr>
            <w:tcW w:w="651" w:type="dxa"/>
            <w:tcBorders>
              <w:top w:val="nil"/>
              <w:left w:val="nil"/>
              <w:bottom w:val="nil"/>
              <w:right w:val="nil"/>
            </w:tcBorders>
            <w:shd w:val="clear" w:color="auto" w:fill="auto"/>
            <w:noWrap/>
            <w:vAlign w:val="bottom"/>
            <w:hideMark/>
          </w:tcPr>
          <w:p w:rsidR="005277E5" w:rsidRPr="005277E5" w:rsidRDefault="005277E5" w:rsidP="005277E5">
            <w:pPr>
              <w:spacing w:after="0" w:line="240" w:lineRule="auto"/>
              <w:rPr>
                <w:rFonts w:ascii="Arial" w:eastAsia="Times New Roman" w:hAnsi="Arial" w:cs="Arial"/>
                <w:color w:val="000000"/>
                <w:sz w:val="20"/>
                <w:szCs w:val="20"/>
              </w:rPr>
            </w:pPr>
          </w:p>
        </w:tc>
      </w:tr>
    </w:tbl>
    <w:p w:rsidR="005277E5" w:rsidRDefault="005277E5" w:rsidP="005277E5">
      <w:pPr>
        <w:spacing w:after="120"/>
        <w:rPr>
          <w:rFonts w:ascii="Times New Roman" w:hAnsi="Times New Roman" w:cs="Times New Roman"/>
          <w:sz w:val="20"/>
          <w:szCs w:val="20"/>
        </w:rPr>
      </w:pPr>
    </w:p>
    <w:p w:rsidR="005277E5" w:rsidRDefault="005277E5" w:rsidP="005277E5">
      <w:pPr>
        <w:spacing w:after="120"/>
        <w:rPr>
          <w:rFonts w:ascii="Times New Roman" w:hAnsi="Times New Roman" w:cs="Times New Roman"/>
          <w:sz w:val="20"/>
          <w:szCs w:val="20"/>
        </w:rPr>
      </w:pPr>
    </w:p>
    <w:p w:rsidR="00081561" w:rsidRDefault="005277E5" w:rsidP="005277E5">
      <w:pPr>
        <w:spacing w:after="120"/>
        <w:rPr>
          <w:rFonts w:ascii="Times New Roman" w:hAnsi="Times New Roman" w:cs="Times New Roman"/>
          <w:sz w:val="20"/>
          <w:szCs w:val="20"/>
        </w:rPr>
      </w:pPr>
      <w:r>
        <w:rPr>
          <w:rFonts w:ascii="Times New Roman" w:hAnsi="Times New Roman" w:cs="Times New Roman"/>
          <w:sz w:val="20"/>
          <w:szCs w:val="20"/>
        </w:rPr>
        <w:lastRenderedPageBreak/>
        <w:t xml:space="preserve">Note that the second difference plot appears to be the most stationary of the three, but we could argue that the first difference has some visual evidence of </w:t>
      </w:r>
      <w:proofErr w:type="spellStart"/>
      <w:r>
        <w:rPr>
          <w:rFonts w:ascii="Times New Roman" w:hAnsi="Times New Roman" w:cs="Times New Roman"/>
          <w:sz w:val="20"/>
          <w:szCs w:val="20"/>
        </w:rPr>
        <w:t>stationarity</w:t>
      </w:r>
      <w:proofErr w:type="spellEnd"/>
      <w:r>
        <w:rPr>
          <w:rFonts w:ascii="Times New Roman" w:hAnsi="Times New Roman" w:cs="Times New Roman"/>
          <w:sz w:val="20"/>
          <w:szCs w:val="20"/>
        </w:rPr>
        <w:t>.</w:t>
      </w:r>
      <w:r w:rsidR="00476584">
        <w:rPr>
          <w:rFonts w:ascii="Times New Roman" w:hAnsi="Times New Roman" w:cs="Times New Roman"/>
          <w:sz w:val="20"/>
          <w:szCs w:val="20"/>
        </w:rPr>
        <w:t xml:space="preserve">  Moving forward I will tend to think of the second difference as the primary choice of model; however, if it turns out that the first difference gives equal or slightly worse results, we may eventually prefer it due to parsimony.</w:t>
      </w:r>
      <w:r w:rsidR="00081561">
        <w:rPr>
          <w:rFonts w:ascii="Times New Roman" w:hAnsi="Times New Roman" w:cs="Times New Roman"/>
          <w:sz w:val="20"/>
          <w:szCs w:val="20"/>
        </w:rPr>
        <w:t xml:space="preserve">  In any event, we will investigate further the possibilities of </w:t>
      </w:r>
      <w:proofErr w:type="gramStart"/>
      <w:r w:rsidR="00081561">
        <w:rPr>
          <w:rFonts w:ascii="Times New Roman" w:hAnsi="Times New Roman" w:cs="Times New Roman"/>
          <w:sz w:val="20"/>
          <w:szCs w:val="20"/>
        </w:rPr>
        <w:t>ARIMA(</w:t>
      </w:r>
      <w:proofErr w:type="gramEnd"/>
      <w:r w:rsidR="00081561">
        <w:rPr>
          <w:rFonts w:ascii="Times New Roman" w:hAnsi="Times New Roman" w:cs="Times New Roman"/>
          <w:sz w:val="20"/>
          <w:szCs w:val="20"/>
        </w:rPr>
        <w:t>p,1,q) and ARIMA(p,2,q) models.</w:t>
      </w:r>
      <w:r w:rsidR="004E56CF">
        <w:rPr>
          <w:rFonts w:ascii="Times New Roman" w:hAnsi="Times New Roman" w:cs="Times New Roman"/>
          <w:sz w:val="20"/>
          <w:szCs w:val="20"/>
        </w:rPr>
        <w:t xml:space="preserve">  In addition, we will start by examining models where q=0 (that is, where the first or second difference is </w:t>
      </w:r>
      <w:proofErr w:type="gramStart"/>
      <w:r w:rsidR="004E56CF">
        <w:rPr>
          <w:rFonts w:ascii="Times New Roman" w:hAnsi="Times New Roman" w:cs="Times New Roman"/>
          <w:sz w:val="20"/>
          <w:szCs w:val="20"/>
        </w:rPr>
        <w:t>AR(</w:t>
      </w:r>
      <w:proofErr w:type="gramEnd"/>
      <w:r w:rsidR="004E56CF">
        <w:rPr>
          <w:rFonts w:ascii="Times New Roman" w:hAnsi="Times New Roman" w:cs="Times New Roman"/>
          <w:sz w:val="20"/>
          <w:szCs w:val="20"/>
        </w:rPr>
        <w:t>p)), and consider incorporating positive values of q if the resulting AR(p) models appear insufficient.</w:t>
      </w:r>
    </w:p>
    <w:p w:rsidR="00C947D0" w:rsidRDefault="00C947D0" w:rsidP="005277E5">
      <w:pPr>
        <w:spacing w:after="120"/>
        <w:rPr>
          <w:rFonts w:ascii="Times New Roman" w:hAnsi="Times New Roman" w:cs="Times New Roman"/>
          <w:sz w:val="20"/>
          <w:szCs w:val="20"/>
        </w:rPr>
      </w:pPr>
      <w:r>
        <w:rPr>
          <w:rFonts w:ascii="Times New Roman" w:hAnsi="Times New Roman" w:cs="Times New Roman"/>
          <w:sz w:val="20"/>
          <w:szCs w:val="20"/>
        </w:rPr>
        <w:tab/>
        <w:t xml:space="preserve">We calculate sample autocorrelations of the first and second difference for various lags.  In principle, it would be preferable to compute sample partial autocorrelations and expect them decrease to 0 fairly rapidly to identify the order of the </w:t>
      </w:r>
      <w:proofErr w:type="gramStart"/>
      <w:r>
        <w:rPr>
          <w:rFonts w:ascii="Times New Roman" w:hAnsi="Times New Roman" w:cs="Times New Roman"/>
          <w:sz w:val="20"/>
          <w:szCs w:val="20"/>
        </w:rPr>
        <w:t>AR(</w:t>
      </w:r>
      <w:proofErr w:type="gramEnd"/>
      <w:r>
        <w:rPr>
          <w:rFonts w:ascii="Times New Roman" w:hAnsi="Times New Roman" w:cs="Times New Roman"/>
          <w:sz w:val="20"/>
          <w:szCs w:val="20"/>
        </w:rPr>
        <w:t>p) model.  However, computing sample partial autocorrelations is non-trivial in Excel, so we will settle on an order somewhat more informally by examining the sample autocorrelations.  These are given below.</w:t>
      </w:r>
    </w:p>
    <w:tbl>
      <w:tblPr>
        <w:tblW w:w="5120" w:type="dxa"/>
        <w:jc w:val="center"/>
        <w:tblLook w:val="04A0" w:firstRow="1" w:lastRow="0" w:firstColumn="1" w:lastColumn="0" w:noHBand="0" w:noVBand="1"/>
      </w:tblPr>
      <w:tblGrid>
        <w:gridCol w:w="614"/>
        <w:gridCol w:w="1746"/>
        <w:gridCol w:w="400"/>
        <w:gridCol w:w="614"/>
        <w:gridCol w:w="1746"/>
      </w:tblGrid>
      <w:tr w:rsidR="003C2137" w:rsidRPr="003C2137" w:rsidTr="003C2137">
        <w:trPr>
          <w:trHeight w:val="255"/>
          <w:jc w:val="center"/>
        </w:trPr>
        <w:tc>
          <w:tcPr>
            <w:tcW w:w="23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2137" w:rsidRPr="003C2137" w:rsidRDefault="003C2137" w:rsidP="003C2137">
            <w:pPr>
              <w:spacing w:after="0" w:line="240" w:lineRule="auto"/>
              <w:jc w:val="center"/>
              <w:rPr>
                <w:rFonts w:ascii="Arial" w:eastAsia="Times New Roman" w:hAnsi="Arial" w:cs="Arial"/>
                <w:b/>
                <w:bCs/>
                <w:color w:val="000000"/>
                <w:sz w:val="20"/>
                <w:szCs w:val="20"/>
              </w:rPr>
            </w:pPr>
            <w:r w:rsidRPr="003C2137">
              <w:rPr>
                <w:rFonts w:ascii="Arial" w:eastAsia="Times New Roman" w:hAnsi="Arial" w:cs="Arial"/>
                <w:b/>
                <w:bCs/>
                <w:color w:val="000000"/>
                <w:sz w:val="20"/>
                <w:szCs w:val="20"/>
              </w:rPr>
              <w:t>1st Diff</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23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2137" w:rsidRPr="003C2137" w:rsidRDefault="003C2137" w:rsidP="003C2137">
            <w:pPr>
              <w:spacing w:after="0" w:line="240" w:lineRule="auto"/>
              <w:jc w:val="center"/>
              <w:rPr>
                <w:rFonts w:ascii="Arial" w:eastAsia="Times New Roman" w:hAnsi="Arial" w:cs="Arial"/>
                <w:b/>
                <w:bCs/>
                <w:color w:val="000000"/>
                <w:sz w:val="20"/>
                <w:szCs w:val="20"/>
              </w:rPr>
            </w:pPr>
            <w:r w:rsidRPr="003C2137">
              <w:rPr>
                <w:rFonts w:ascii="Arial" w:eastAsia="Times New Roman" w:hAnsi="Arial" w:cs="Arial"/>
                <w:b/>
                <w:bCs/>
                <w:color w:val="000000"/>
                <w:sz w:val="20"/>
                <w:szCs w:val="20"/>
              </w:rPr>
              <w:t>2nd Diff</w:t>
            </w:r>
          </w:p>
        </w:tc>
      </w:tr>
      <w:tr w:rsidR="003C2137" w:rsidRPr="003C2137" w:rsidTr="003C2137">
        <w:trPr>
          <w:trHeight w:val="255"/>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b/>
                <w:bCs/>
                <w:color w:val="000000"/>
                <w:sz w:val="20"/>
                <w:szCs w:val="20"/>
              </w:rPr>
            </w:pPr>
            <w:r w:rsidRPr="003C2137">
              <w:rPr>
                <w:rFonts w:ascii="Arial" w:eastAsia="Times New Roman" w:hAnsi="Arial" w:cs="Arial"/>
                <w:b/>
                <w:bCs/>
                <w:color w:val="000000"/>
                <w:sz w:val="20"/>
                <w:szCs w:val="20"/>
              </w:rPr>
              <w:t>Lag</w:t>
            </w:r>
          </w:p>
        </w:tc>
        <w:tc>
          <w:tcPr>
            <w:tcW w:w="1746" w:type="dxa"/>
            <w:tcBorders>
              <w:top w:val="nil"/>
              <w:left w:val="nil"/>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b/>
                <w:bCs/>
                <w:color w:val="000000"/>
                <w:sz w:val="20"/>
                <w:szCs w:val="20"/>
              </w:rPr>
            </w:pPr>
            <w:r w:rsidRPr="003C2137">
              <w:rPr>
                <w:rFonts w:ascii="Arial" w:eastAsia="Times New Roman" w:hAnsi="Arial" w:cs="Arial"/>
                <w:b/>
                <w:bCs/>
                <w:color w:val="000000"/>
                <w:sz w:val="20"/>
                <w:szCs w:val="20"/>
              </w:rPr>
              <w:t>Correlation</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b/>
                <w:bCs/>
                <w:color w:val="000000"/>
                <w:sz w:val="20"/>
                <w:szCs w:val="20"/>
              </w:rPr>
            </w:pPr>
            <w:r w:rsidRPr="003C2137">
              <w:rPr>
                <w:rFonts w:ascii="Arial" w:eastAsia="Times New Roman" w:hAnsi="Arial" w:cs="Arial"/>
                <w:b/>
                <w:bCs/>
                <w:color w:val="000000"/>
                <w:sz w:val="20"/>
                <w:szCs w:val="20"/>
              </w:rPr>
              <w:t>Lag</w:t>
            </w:r>
          </w:p>
        </w:tc>
        <w:tc>
          <w:tcPr>
            <w:tcW w:w="1746" w:type="dxa"/>
            <w:tcBorders>
              <w:top w:val="nil"/>
              <w:left w:val="nil"/>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b/>
                <w:bCs/>
                <w:color w:val="000000"/>
                <w:sz w:val="20"/>
                <w:szCs w:val="20"/>
              </w:rPr>
            </w:pPr>
            <w:r w:rsidRPr="003C2137">
              <w:rPr>
                <w:rFonts w:ascii="Arial" w:eastAsia="Times New Roman" w:hAnsi="Arial" w:cs="Arial"/>
                <w:b/>
                <w:bCs/>
                <w:color w:val="000000"/>
                <w:sz w:val="20"/>
                <w:szCs w:val="20"/>
              </w:rPr>
              <w:t>Correlation</w:t>
            </w:r>
          </w:p>
        </w:tc>
      </w:tr>
      <w:tr w:rsidR="003C2137" w:rsidRPr="003C2137" w:rsidTr="003C2137">
        <w:trPr>
          <w:trHeight w:val="255"/>
          <w:jc w:val="center"/>
        </w:trPr>
        <w:tc>
          <w:tcPr>
            <w:tcW w:w="614" w:type="dxa"/>
            <w:tcBorders>
              <w:top w:val="nil"/>
              <w:left w:val="single" w:sz="4" w:space="0" w:color="auto"/>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1</w:t>
            </w:r>
          </w:p>
        </w:tc>
        <w:tc>
          <w:tcPr>
            <w:tcW w:w="1746" w:type="dxa"/>
            <w:tcBorders>
              <w:top w:val="nil"/>
              <w:left w:val="nil"/>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0.18</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614" w:type="dxa"/>
            <w:tcBorders>
              <w:top w:val="nil"/>
              <w:left w:val="single" w:sz="4" w:space="0" w:color="auto"/>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1</w:t>
            </w:r>
          </w:p>
        </w:tc>
        <w:tc>
          <w:tcPr>
            <w:tcW w:w="1746" w:type="dxa"/>
            <w:tcBorders>
              <w:top w:val="nil"/>
              <w:left w:val="nil"/>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-0.41</w:t>
            </w:r>
          </w:p>
        </w:tc>
      </w:tr>
      <w:tr w:rsidR="003C2137" w:rsidRPr="003C2137" w:rsidTr="003C2137">
        <w:trPr>
          <w:trHeight w:val="255"/>
          <w:jc w:val="center"/>
        </w:trPr>
        <w:tc>
          <w:tcPr>
            <w:tcW w:w="614" w:type="dxa"/>
            <w:tcBorders>
              <w:top w:val="nil"/>
              <w:left w:val="single" w:sz="4" w:space="0" w:color="auto"/>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2</w:t>
            </w:r>
          </w:p>
        </w:tc>
        <w:tc>
          <w:tcPr>
            <w:tcW w:w="1746" w:type="dxa"/>
            <w:tcBorders>
              <w:top w:val="nil"/>
              <w:left w:val="nil"/>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-0.10</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614" w:type="dxa"/>
            <w:tcBorders>
              <w:top w:val="nil"/>
              <w:left w:val="single" w:sz="4" w:space="0" w:color="auto"/>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2</w:t>
            </w:r>
          </w:p>
        </w:tc>
        <w:tc>
          <w:tcPr>
            <w:tcW w:w="1746" w:type="dxa"/>
            <w:tcBorders>
              <w:top w:val="nil"/>
              <w:left w:val="nil"/>
              <w:bottom w:val="nil"/>
              <w:right w:val="single" w:sz="4" w:space="0" w:color="auto"/>
            </w:tcBorders>
            <w:shd w:val="clear" w:color="000000" w:fill="FFFF00"/>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-0.19</w:t>
            </w:r>
          </w:p>
        </w:tc>
      </w:tr>
      <w:tr w:rsidR="003C2137" w:rsidRPr="003C2137" w:rsidTr="003C2137">
        <w:trPr>
          <w:trHeight w:val="255"/>
          <w:jc w:val="center"/>
        </w:trPr>
        <w:tc>
          <w:tcPr>
            <w:tcW w:w="614" w:type="dxa"/>
            <w:tcBorders>
              <w:top w:val="nil"/>
              <w:left w:val="single" w:sz="4" w:space="0" w:color="auto"/>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3</w:t>
            </w:r>
          </w:p>
        </w:tc>
        <w:tc>
          <w:tcPr>
            <w:tcW w:w="1746" w:type="dxa"/>
            <w:tcBorders>
              <w:top w:val="nil"/>
              <w:left w:val="nil"/>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0.02</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614" w:type="dxa"/>
            <w:tcBorders>
              <w:top w:val="nil"/>
              <w:left w:val="single" w:sz="4" w:space="0" w:color="auto"/>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3</w:t>
            </w:r>
          </w:p>
        </w:tc>
        <w:tc>
          <w:tcPr>
            <w:tcW w:w="1746" w:type="dxa"/>
            <w:tcBorders>
              <w:top w:val="nil"/>
              <w:left w:val="nil"/>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0.03</w:t>
            </w:r>
          </w:p>
        </w:tc>
      </w:tr>
      <w:tr w:rsidR="003C2137" w:rsidRPr="003C2137" w:rsidTr="003C2137">
        <w:trPr>
          <w:trHeight w:val="255"/>
          <w:jc w:val="center"/>
        </w:trPr>
        <w:tc>
          <w:tcPr>
            <w:tcW w:w="614" w:type="dxa"/>
            <w:tcBorders>
              <w:top w:val="nil"/>
              <w:left w:val="single" w:sz="4" w:space="0" w:color="auto"/>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4</w:t>
            </w:r>
          </w:p>
        </w:tc>
        <w:tc>
          <w:tcPr>
            <w:tcW w:w="1746" w:type="dxa"/>
            <w:tcBorders>
              <w:top w:val="nil"/>
              <w:left w:val="nil"/>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0.24</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614" w:type="dxa"/>
            <w:tcBorders>
              <w:top w:val="nil"/>
              <w:left w:val="single" w:sz="4" w:space="0" w:color="auto"/>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4</w:t>
            </w:r>
          </w:p>
        </w:tc>
        <w:tc>
          <w:tcPr>
            <w:tcW w:w="1746" w:type="dxa"/>
            <w:tcBorders>
              <w:top w:val="nil"/>
              <w:left w:val="nil"/>
              <w:bottom w:val="nil"/>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0.00</w:t>
            </w:r>
          </w:p>
        </w:tc>
      </w:tr>
      <w:tr w:rsidR="003C2137" w:rsidRPr="003C2137" w:rsidTr="003C2137">
        <w:trPr>
          <w:trHeight w:val="255"/>
          <w:jc w:val="center"/>
        </w:trPr>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5</w:t>
            </w:r>
          </w:p>
        </w:tc>
        <w:tc>
          <w:tcPr>
            <w:tcW w:w="1746" w:type="dxa"/>
            <w:tcBorders>
              <w:top w:val="nil"/>
              <w:left w:val="nil"/>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0.46</w:t>
            </w:r>
          </w:p>
        </w:tc>
        <w:tc>
          <w:tcPr>
            <w:tcW w:w="400" w:type="dxa"/>
            <w:tcBorders>
              <w:top w:val="nil"/>
              <w:left w:val="nil"/>
              <w:bottom w:val="nil"/>
              <w:right w:val="nil"/>
            </w:tcBorders>
            <w:shd w:val="clear" w:color="auto" w:fill="auto"/>
            <w:noWrap/>
            <w:vAlign w:val="bottom"/>
            <w:hideMark/>
          </w:tcPr>
          <w:p w:rsidR="003C2137" w:rsidRPr="003C2137" w:rsidRDefault="003C2137" w:rsidP="003C2137">
            <w:pPr>
              <w:spacing w:after="0" w:line="240" w:lineRule="auto"/>
              <w:rPr>
                <w:rFonts w:ascii="Arial" w:eastAsia="Times New Roman" w:hAnsi="Arial" w:cs="Arial"/>
                <w:color w:val="000000"/>
                <w:sz w:val="20"/>
                <w:szCs w:val="20"/>
              </w:rPr>
            </w:pPr>
          </w:p>
        </w:tc>
        <w:tc>
          <w:tcPr>
            <w:tcW w:w="614" w:type="dxa"/>
            <w:tcBorders>
              <w:top w:val="nil"/>
              <w:left w:val="single" w:sz="4" w:space="0" w:color="auto"/>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5</w:t>
            </w:r>
          </w:p>
        </w:tc>
        <w:tc>
          <w:tcPr>
            <w:tcW w:w="1746" w:type="dxa"/>
            <w:tcBorders>
              <w:top w:val="nil"/>
              <w:left w:val="nil"/>
              <w:bottom w:val="single" w:sz="4" w:space="0" w:color="auto"/>
              <w:right w:val="single" w:sz="4" w:space="0" w:color="auto"/>
            </w:tcBorders>
            <w:shd w:val="clear" w:color="auto" w:fill="auto"/>
            <w:noWrap/>
            <w:vAlign w:val="bottom"/>
            <w:hideMark/>
          </w:tcPr>
          <w:p w:rsidR="003C2137" w:rsidRPr="003C2137" w:rsidRDefault="003C2137" w:rsidP="003C2137">
            <w:pPr>
              <w:spacing w:after="0" w:line="240" w:lineRule="auto"/>
              <w:jc w:val="right"/>
              <w:rPr>
                <w:rFonts w:ascii="Arial" w:eastAsia="Times New Roman" w:hAnsi="Arial" w:cs="Arial"/>
                <w:color w:val="000000"/>
                <w:sz w:val="20"/>
                <w:szCs w:val="20"/>
              </w:rPr>
            </w:pPr>
            <w:r w:rsidRPr="003C2137">
              <w:rPr>
                <w:rFonts w:ascii="Arial" w:eastAsia="Times New Roman" w:hAnsi="Arial" w:cs="Arial"/>
                <w:color w:val="000000"/>
                <w:sz w:val="20"/>
                <w:szCs w:val="20"/>
              </w:rPr>
              <w:t>0.56</w:t>
            </w:r>
          </w:p>
        </w:tc>
      </w:tr>
    </w:tbl>
    <w:p w:rsidR="003C2137" w:rsidRDefault="003C2137" w:rsidP="005277E5">
      <w:pPr>
        <w:spacing w:after="120"/>
        <w:rPr>
          <w:rFonts w:ascii="Times New Roman" w:hAnsi="Times New Roman" w:cs="Times New Roman"/>
          <w:sz w:val="20"/>
          <w:szCs w:val="20"/>
        </w:rPr>
      </w:pPr>
    </w:p>
    <w:p w:rsidR="003C2137" w:rsidRDefault="003C2137" w:rsidP="005277E5">
      <w:pPr>
        <w:spacing w:after="120"/>
        <w:rPr>
          <w:rFonts w:ascii="Times New Roman" w:hAnsi="Times New Roman" w:cs="Times New Roman"/>
          <w:sz w:val="20"/>
          <w:szCs w:val="20"/>
        </w:rPr>
      </w:pPr>
      <w:r>
        <w:rPr>
          <w:rFonts w:ascii="Times New Roman" w:hAnsi="Times New Roman" w:cs="Times New Roman"/>
          <w:sz w:val="20"/>
          <w:szCs w:val="20"/>
        </w:rPr>
        <w:tab/>
        <w:t>The autocorrelations for the first difference are interesting.  The positive correlation at lag 1 indicates that an increase in one quarter is more likely to be followed by an increase the next quarter; however, the negative correlation at lag 2 suggests that such increases are corrected for later by a reversion to the mean.</w:t>
      </w:r>
      <w:r w:rsidR="00BA3C3D">
        <w:rPr>
          <w:rFonts w:ascii="Times New Roman" w:hAnsi="Times New Roman" w:cs="Times New Roman"/>
          <w:sz w:val="20"/>
          <w:szCs w:val="20"/>
        </w:rPr>
        <w:t xml:space="preserve">  The correlation at lag 3 is 0, and for lar</w:t>
      </w:r>
      <w:r w:rsidR="00F81926">
        <w:rPr>
          <w:rFonts w:ascii="Times New Roman" w:hAnsi="Times New Roman" w:cs="Times New Roman"/>
          <w:sz w:val="20"/>
          <w:szCs w:val="20"/>
        </w:rPr>
        <w:t xml:space="preserve">ger lags appears to be increasing.  Given the relative </w:t>
      </w:r>
      <w:proofErr w:type="spellStart"/>
      <w:r w:rsidR="00F81926">
        <w:rPr>
          <w:rFonts w:ascii="Times New Roman" w:hAnsi="Times New Roman" w:cs="Times New Roman"/>
          <w:sz w:val="20"/>
          <w:szCs w:val="20"/>
        </w:rPr>
        <w:t>sparsity</w:t>
      </w:r>
      <w:proofErr w:type="spellEnd"/>
      <w:r w:rsidR="00F81926">
        <w:rPr>
          <w:rFonts w:ascii="Times New Roman" w:hAnsi="Times New Roman" w:cs="Times New Roman"/>
          <w:sz w:val="20"/>
          <w:szCs w:val="20"/>
        </w:rPr>
        <w:t xml:space="preserve"> of data, I am inclined to not consider models of orders with orders of 4 or 5, since the sample autocorrelations will have very high variance.  Therefore I will consider orders of the first difference model up to p=2 (excluding </w:t>
      </w:r>
      <w:proofErr w:type="gramStart"/>
      <w:r w:rsidR="00F81926">
        <w:rPr>
          <w:rFonts w:ascii="Times New Roman" w:hAnsi="Times New Roman" w:cs="Times New Roman"/>
          <w:sz w:val="20"/>
          <w:szCs w:val="20"/>
        </w:rPr>
        <w:t>AR(</w:t>
      </w:r>
      <w:proofErr w:type="gramEnd"/>
      <w:r w:rsidR="00F81926">
        <w:rPr>
          <w:rFonts w:ascii="Times New Roman" w:hAnsi="Times New Roman" w:cs="Times New Roman"/>
          <w:sz w:val="20"/>
          <w:szCs w:val="20"/>
        </w:rPr>
        <w:t>3) due to low correlation at lag 3).</w:t>
      </w:r>
      <w:r w:rsidR="002808AD">
        <w:rPr>
          <w:rFonts w:ascii="Times New Roman" w:hAnsi="Times New Roman" w:cs="Times New Roman"/>
          <w:sz w:val="20"/>
          <w:szCs w:val="20"/>
        </w:rPr>
        <w:t xml:space="preserve">  Due to the change in sign of the autocorrelation for</w:t>
      </w:r>
      <w:r w:rsidR="007E5163">
        <w:rPr>
          <w:rFonts w:ascii="Times New Roman" w:hAnsi="Times New Roman" w:cs="Times New Roman"/>
          <w:sz w:val="20"/>
          <w:szCs w:val="20"/>
        </w:rPr>
        <w:t xml:space="preserve"> this model between lags 1 and 2 and the logical explanation for such a change to occur</w:t>
      </w:r>
      <w:r w:rsidR="002808AD">
        <w:rPr>
          <w:rFonts w:ascii="Times New Roman" w:hAnsi="Times New Roman" w:cs="Times New Roman"/>
          <w:sz w:val="20"/>
          <w:szCs w:val="20"/>
        </w:rPr>
        <w:t>, I will tend to prefer the model at lag 2.</w:t>
      </w:r>
    </w:p>
    <w:p w:rsidR="002808AD" w:rsidRDefault="002808AD" w:rsidP="005277E5">
      <w:pPr>
        <w:spacing w:after="120"/>
        <w:rPr>
          <w:rFonts w:ascii="Times New Roman" w:hAnsi="Times New Roman" w:cs="Times New Roman"/>
          <w:sz w:val="20"/>
          <w:szCs w:val="20"/>
        </w:rPr>
      </w:pPr>
      <w:r>
        <w:rPr>
          <w:rFonts w:ascii="Times New Roman" w:hAnsi="Times New Roman" w:cs="Times New Roman"/>
          <w:sz w:val="20"/>
          <w:szCs w:val="20"/>
        </w:rPr>
        <w:tab/>
        <w:t>For similar reasons</w:t>
      </w:r>
      <w:r w:rsidR="007E5163">
        <w:rPr>
          <w:rFonts w:ascii="Times New Roman" w:hAnsi="Times New Roman" w:cs="Times New Roman"/>
          <w:sz w:val="20"/>
          <w:szCs w:val="20"/>
        </w:rPr>
        <w:t>, I will consider second difference models up to order 2.</w:t>
      </w:r>
    </w:p>
    <w:p w:rsidR="00337EAF" w:rsidRDefault="00337EAF" w:rsidP="005277E5">
      <w:pPr>
        <w:spacing w:after="120"/>
        <w:rPr>
          <w:rFonts w:ascii="Times New Roman" w:hAnsi="Times New Roman" w:cs="Times New Roman"/>
          <w:sz w:val="20"/>
          <w:szCs w:val="20"/>
        </w:rPr>
      </w:pPr>
      <w:r>
        <w:rPr>
          <w:rFonts w:ascii="Times New Roman" w:hAnsi="Times New Roman" w:cs="Times New Roman"/>
          <w:sz w:val="20"/>
          <w:szCs w:val="20"/>
        </w:rPr>
        <w:tab/>
        <w:t>I performed linear regressions at lags 1 and 2 for both the first and second difference models.  The following table summarizes the P-values of all regression models considered.</w:t>
      </w:r>
      <w:r w:rsidR="009A738E">
        <w:rPr>
          <w:rFonts w:ascii="Times New Roman" w:hAnsi="Times New Roman" w:cs="Times New Roman"/>
          <w:sz w:val="20"/>
          <w:szCs w:val="20"/>
        </w:rPr>
        <w:t xml:space="preserve">  See the workbook “Time Series Project – Fisette.xlsb” for additional details on the regressions performed.</w:t>
      </w:r>
    </w:p>
    <w:tbl>
      <w:tblPr>
        <w:tblW w:w="6481" w:type="dxa"/>
        <w:jc w:val="center"/>
        <w:tblLook w:val="04A0" w:firstRow="1" w:lastRow="0" w:firstColumn="1" w:lastColumn="0" w:noHBand="0" w:noVBand="1"/>
      </w:tblPr>
      <w:tblGrid>
        <w:gridCol w:w="1428"/>
        <w:gridCol w:w="875"/>
        <w:gridCol w:w="1216"/>
        <w:gridCol w:w="1555"/>
        <w:gridCol w:w="1555"/>
      </w:tblGrid>
      <w:tr w:rsidR="00337EAF" w:rsidRPr="00337EAF" w:rsidTr="009A738E">
        <w:trPr>
          <w:trHeight w:val="255"/>
          <w:jc w:val="center"/>
        </w:trPr>
        <w:tc>
          <w:tcPr>
            <w:tcW w:w="1280" w:type="dxa"/>
            <w:tcBorders>
              <w:top w:val="nil"/>
              <w:left w:val="nil"/>
              <w:bottom w:val="nil"/>
              <w:right w:val="nil"/>
            </w:tcBorders>
            <w:shd w:val="clear" w:color="auto" w:fill="auto"/>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p>
        </w:tc>
        <w:tc>
          <w:tcPr>
            <w:tcW w:w="52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center"/>
              <w:rPr>
                <w:rFonts w:ascii="Arial" w:eastAsia="Times New Roman" w:hAnsi="Arial" w:cs="Arial"/>
                <w:b/>
                <w:bCs/>
                <w:color w:val="000000"/>
                <w:sz w:val="20"/>
                <w:szCs w:val="20"/>
              </w:rPr>
            </w:pPr>
            <w:r w:rsidRPr="00337EAF">
              <w:rPr>
                <w:rFonts w:ascii="Arial" w:eastAsia="Times New Roman" w:hAnsi="Arial" w:cs="Arial"/>
                <w:b/>
                <w:bCs/>
                <w:color w:val="000000"/>
                <w:sz w:val="20"/>
                <w:szCs w:val="20"/>
              </w:rPr>
              <w:t>P-Values</w:t>
            </w:r>
          </w:p>
        </w:tc>
      </w:tr>
      <w:tr w:rsidR="00337EAF" w:rsidRPr="00337EAF" w:rsidTr="009A738E">
        <w:trPr>
          <w:trHeight w:val="25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center"/>
              <w:rPr>
                <w:rFonts w:ascii="Arial" w:eastAsia="Times New Roman" w:hAnsi="Arial" w:cs="Arial"/>
                <w:b/>
                <w:bCs/>
                <w:color w:val="000000"/>
                <w:sz w:val="20"/>
                <w:szCs w:val="20"/>
              </w:rPr>
            </w:pPr>
            <w:r w:rsidRPr="00337EAF">
              <w:rPr>
                <w:rFonts w:ascii="Arial" w:eastAsia="Times New Roman" w:hAnsi="Arial" w:cs="Arial"/>
                <w:b/>
                <w:bCs/>
                <w:color w:val="000000"/>
                <w:sz w:val="20"/>
                <w:szCs w:val="20"/>
              </w:rPr>
              <w:t>Model</w:t>
            </w:r>
          </w:p>
        </w:tc>
        <w:tc>
          <w:tcPr>
            <w:tcW w:w="875"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center"/>
              <w:rPr>
                <w:rFonts w:ascii="Arial" w:eastAsia="Times New Roman" w:hAnsi="Arial" w:cs="Arial"/>
                <w:b/>
                <w:bCs/>
                <w:color w:val="000000"/>
                <w:sz w:val="20"/>
                <w:szCs w:val="20"/>
              </w:rPr>
            </w:pPr>
            <w:r w:rsidRPr="00337EAF">
              <w:rPr>
                <w:rFonts w:ascii="Arial" w:eastAsia="Times New Roman" w:hAnsi="Arial" w:cs="Arial"/>
                <w:b/>
                <w:bCs/>
                <w:color w:val="000000"/>
                <w:sz w:val="20"/>
                <w:szCs w:val="20"/>
              </w:rPr>
              <w:t>F-Test</w:t>
            </w:r>
          </w:p>
        </w:tc>
        <w:tc>
          <w:tcPr>
            <w:tcW w:w="1216"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center"/>
              <w:rPr>
                <w:rFonts w:ascii="Arial" w:eastAsia="Times New Roman" w:hAnsi="Arial" w:cs="Arial"/>
                <w:b/>
                <w:bCs/>
                <w:color w:val="000000"/>
                <w:sz w:val="20"/>
                <w:szCs w:val="20"/>
              </w:rPr>
            </w:pPr>
            <w:r w:rsidRPr="00337EAF">
              <w:rPr>
                <w:rFonts w:ascii="Arial" w:eastAsia="Times New Roman" w:hAnsi="Arial" w:cs="Arial"/>
                <w:b/>
                <w:bCs/>
                <w:color w:val="000000"/>
                <w:sz w:val="20"/>
                <w:szCs w:val="20"/>
              </w:rPr>
              <w:t>Intercept</w:t>
            </w:r>
          </w:p>
        </w:tc>
        <w:tc>
          <w:tcPr>
            <w:tcW w:w="1555"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center"/>
              <w:rPr>
                <w:rFonts w:ascii="Arial" w:eastAsia="Times New Roman" w:hAnsi="Arial" w:cs="Arial"/>
                <w:b/>
                <w:bCs/>
                <w:color w:val="000000"/>
                <w:sz w:val="20"/>
                <w:szCs w:val="20"/>
              </w:rPr>
            </w:pPr>
            <w:r w:rsidRPr="00337EAF">
              <w:rPr>
                <w:rFonts w:ascii="Arial" w:eastAsia="Times New Roman" w:hAnsi="Arial" w:cs="Arial"/>
                <w:b/>
                <w:bCs/>
                <w:color w:val="000000"/>
                <w:sz w:val="20"/>
                <w:szCs w:val="20"/>
              </w:rPr>
              <w:t xml:space="preserve">Lag 1 </w:t>
            </w:r>
            <w:proofErr w:type="spellStart"/>
            <w:r w:rsidRPr="00337EAF">
              <w:rPr>
                <w:rFonts w:ascii="Arial" w:eastAsia="Times New Roman" w:hAnsi="Arial" w:cs="Arial"/>
                <w:b/>
                <w:bCs/>
                <w:color w:val="000000"/>
                <w:sz w:val="20"/>
                <w:szCs w:val="20"/>
              </w:rPr>
              <w:t>Coeff</w:t>
            </w:r>
            <w:proofErr w:type="spellEnd"/>
          </w:p>
        </w:tc>
        <w:tc>
          <w:tcPr>
            <w:tcW w:w="1555"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center"/>
              <w:rPr>
                <w:rFonts w:ascii="Arial" w:eastAsia="Times New Roman" w:hAnsi="Arial" w:cs="Arial"/>
                <w:b/>
                <w:bCs/>
                <w:color w:val="000000"/>
                <w:sz w:val="20"/>
                <w:szCs w:val="20"/>
              </w:rPr>
            </w:pPr>
            <w:r w:rsidRPr="00337EAF">
              <w:rPr>
                <w:rFonts w:ascii="Arial" w:eastAsia="Times New Roman" w:hAnsi="Arial" w:cs="Arial"/>
                <w:b/>
                <w:bCs/>
                <w:color w:val="000000"/>
                <w:sz w:val="20"/>
                <w:szCs w:val="20"/>
              </w:rPr>
              <w:t xml:space="preserve">Lag 2 </w:t>
            </w:r>
            <w:proofErr w:type="spellStart"/>
            <w:r w:rsidRPr="00337EAF">
              <w:rPr>
                <w:rFonts w:ascii="Arial" w:eastAsia="Times New Roman" w:hAnsi="Arial" w:cs="Arial"/>
                <w:b/>
                <w:bCs/>
                <w:color w:val="000000"/>
                <w:sz w:val="20"/>
                <w:szCs w:val="20"/>
              </w:rPr>
              <w:t>Coeff</w:t>
            </w:r>
            <w:proofErr w:type="spellEnd"/>
          </w:p>
        </w:tc>
      </w:tr>
      <w:tr w:rsidR="00337EAF" w:rsidRPr="00337EAF" w:rsidTr="009A738E">
        <w:trPr>
          <w:trHeight w:val="255"/>
          <w:jc w:val="center"/>
        </w:trPr>
        <w:tc>
          <w:tcPr>
            <w:tcW w:w="1280" w:type="dxa"/>
            <w:tcBorders>
              <w:top w:val="nil"/>
              <w:left w:val="single" w:sz="4" w:space="0" w:color="auto"/>
              <w:bottom w:val="nil"/>
              <w:right w:val="single" w:sz="4" w:space="0" w:color="auto"/>
            </w:tcBorders>
            <w:shd w:val="clear" w:color="auto" w:fill="auto"/>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r w:rsidRPr="00337EAF">
              <w:rPr>
                <w:rFonts w:ascii="Arial" w:eastAsia="Times New Roman" w:hAnsi="Arial" w:cs="Arial"/>
                <w:color w:val="000000"/>
                <w:sz w:val="20"/>
                <w:szCs w:val="20"/>
              </w:rPr>
              <w:t>ARIMA(2,1,0)</w:t>
            </w:r>
          </w:p>
        </w:tc>
        <w:tc>
          <w:tcPr>
            <w:tcW w:w="87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0.86</w:t>
            </w:r>
          </w:p>
        </w:tc>
        <w:tc>
          <w:tcPr>
            <w:tcW w:w="1216"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0.85</w:t>
            </w:r>
          </w:p>
        </w:tc>
        <w:tc>
          <w:tcPr>
            <w:tcW w:w="155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0.68</w:t>
            </w:r>
          </w:p>
        </w:tc>
        <w:tc>
          <w:tcPr>
            <w:tcW w:w="155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0.70</w:t>
            </w:r>
          </w:p>
        </w:tc>
      </w:tr>
      <w:tr w:rsidR="00337EAF" w:rsidRPr="00337EAF" w:rsidTr="009A738E">
        <w:trPr>
          <w:trHeight w:val="255"/>
          <w:jc w:val="center"/>
        </w:trPr>
        <w:tc>
          <w:tcPr>
            <w:tcW w:w="1280" w:type="dxa"/>
            <w:tcBorders>
              <w:top w:val="nil"/>
              <w:left w:val="single" w:sz="4" w:space="0" w:color="auto"/>
              <w:bottom w:val="nil"/>
              <w:right w:val="single" w:sz="4" w:space="0" w:color="auto"/>
            </w:tcBorders>
            <w:shd w:val="clear" w:color="auto" w:fill="auto"/>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r w:rsidRPr="00337EAF">
              <w:rPr>
                <w:rFonts w:ascii="Arial" w:eastAsia="Times New Roman" w:hAnsi="Arial" w:cs="Arial"/>
                <w:color w:val="000000"/>
                <w:sz w:val="20"/>
                <w:szCs w:val="20"/>
              </w:rPr>
              <w:t>ARIMA(1,1,0)</w:t>
            </w:r>
          </w:p>
        </w:tc>
        <w:tc>
          <w:tcPr>
            <w:tcW w:w="87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0.71</w:t>
            </w:r>
          </w:p>
        </w:tc>
        <w:tc>
          <w:tcPr>
            <w:tcW w:w="1216"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0.83</w:t>
            </w:r>
          </w:p>
        </w:tc>
        <w:tc>
          <w:tcPr>
            <w:tcW w:w="155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0.71</w:t>
            </w:r>
          </w:p>
        </w:tc>
        <w:tc>
          <w:tcPr>
            <w:tcW w:w="1555" w:type="dxa"/>
            <w:tcBorders>
              <w:top w:val="nil"/>
              <w:left w:val="nil"/>
              <w:bottom w:val="nil"/>
              <w:right w:val="single" w:sz="4" w:space="0" w:color="auto"/>
            </w:tcBorders>
            <w:shd w:val="clear" w:color="000000" w:fill="BFBFBF"/>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r w:rsidRPr="00337EAF">
              <w:rPr>
                <w:rFonts w:ascii="Arial" w:eastAsia="Times New Roman" w:hAnsi="Arial" w:cs="Arial"/>
                <w:color w:val="000000"/>
                <w:sz w:val="20"/>
                <w:szCs w:val="20"/>
              </w:rPr>
              <w:t> </w:t>
            </w:r>
          </w:p>
        </w:tc>
      </w:tr>
      <w:tr w:rsidR="00337EAF" w:rsidRPr="00337EAF" w:rsidTr="009A738E">
        <w:trPr>
          <w:trHeight w:val="255"/>
          <w:jc w:val="center"/>
        </w:trPr>
        <w:tc>
          <w:tcPr>
            <w:tcW w:w="1280" w:type="dxa"/>
            <w:tcBorders>
              <w:top w:val="nil"/>
              <w:left w:val="single" w:sz="4" w:space="0" w:color="auto"/>
              <w:bottom w:val="nil"/>
              <w:right w:val="single" w:sz="4" w:space="0" w:color="auto"/>
            </w:tcBorders>
            <w:shd w:val="clear" w:color="auto" w:fill="auto"/>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r w:rsidRPr="00337EAF">
              <w:rPr>
                <w:rFonts w:ascii="Arial" w:eastAsia="Times New Roman" w:hAnsi="Arial" w:cs="Arial"/>
                <w:color w:val="000000"/>
                <w:sz w:val="20"/>
                <w:szCs w:val="20"/>
              </w:rPr>
              <w:t>ARIMA(2,2,0)</w:t>
            </w:r>
          </w:p>
        </w:tc>
        <w:tc>
          <w:tcPr>
            <w:tcW w:w="87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0.16</w:t>
            </w:r>
          </w:p>
        </w:tc>
        <w:tc>
          <w:tcPr>
            <w:tcW w:w="1216"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0.65</w:t>
            </w:r>
          </w:p>
        </w:tc>
        <w:tc>
          <w:tcPr>
            <w:tcW w:w="155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0.08</w:t>
            </w:r>
          </w:p>
        </w:tc>
        <w:tc>
          <w:tcPr>
            <w:tcW w:w="1555" w:type="dxa"/>
            <w:tcBorders>
              <w:top w:val="nil"/>
              <w:left w:val="nil"/>
              <w:bottom w:val="nil"/>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0.17</w:t>
            </w:r>
          </w:p>
        </w:tc>
      </w:tr>
      <w:tr w:rsidR="00337EAF" w:rsidRPr="00337EAF" w:rsidTr="009A738E">
        <w:trPr>
          <w:trHeight w:val="255"/>
          <w:jc w:val="center"/>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r w:rsidRPr="00337EAF">
              <w:rPr>
                <w:rFonts w:ascii="Arial" w:eastAsia="Times New Roman" w:hAnsi="Arial" w:cs="Arial"/>
                <w:color w:val="000000"/>
                <w:sz w:val="20"/>
                <w:szCs w:val="20"/>
              </w:rPr>
              <w:t>ARIMA(1,2,0)</w:t>
            </w:r>
          </w:p>
        </w:tc>
        <w:tc>
          <w:tcPr>
            <w:tcW w:w="875"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0.19</w:t>
            </w:r>
          </w:p>
        </w:tc>
        <w:tc>
          <w:tcPr>
            <w:tcW w:w="1216"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0.79</w:t>
            </w:r>
          </w:p>
        </w:tc>
        <w:tc>
          <w:tcPr>
            <w:tcW w:w="1555" w:type="dxa"/>
            <w:tcBorders>
              <w:top w:val="nil"/>
              <w:left w:val="nil"/>
              <w:bottom w:val="single" w:sz="4" w:space="0" w:color="auto"/>
              <w:right w:val="single" w:sz="4" w:space="0" w:color="auto"/>
            </w:tcBorders>
            <w:shd w:val="clear" w:color="auto" w:fill="auto"/>
            <w:noWrap/>
            <w:vAlign w:val="bottom"/>
            <w:hideMark/>
          </w:tcPr>
          <w:p w:rsidR="00337EAF" w:rsidRPr="00337EAF" w:rsidRDefault="00337EAF" w:rsidP="00337EAF">
            <w:pPr>
              <w:spacing w:after="0" w:line="240" w:lineRule="auto"/>
              <w:jc w:val="right"/>
              <w:rPr>
                <w:rFonts w:ascii="Arial" w:eastAsia="Times New Roman" w:hAnsi="Arial" w:cs="Arial"/>
                <w:color w:val="000000"/>
                <w:sz w:val="20"/>
                <w:szCs w:val="20"/>
              </w:rPr>
            </w:pPr>
            <w:r w:rsidRPr="00337EAF">
              <w:rPr>
                <w:rFonts w:ascii="Arial" w:eastAsia="Times New Roman" w:hAnsi="Arial" w:cs="Arial"/>
                <w:color w:val="000000"/>
                <w:sz w:val="20"/>
                <w:szCs w:val="20"/>
              </w:rPr>
              <w:t>0.19</w:t>
            </w:r>
          </w:p>
        </w:tc>
        <w:tc>
          <w:tcPr>
            <w:tcW w:w="1555" w:type="dxa"/>
            <w:tcBorders>
              <w:top w:val="nil"/>
              <w:left w:val="nil"/>
              <w:bottom w:val="single" w:sz="4" w:space="0" w:color="auto"/>
              <w:right w:val="single" w:sz="4" w:space="0" w:color="auto"/>
            </w:tcBorders>
            <w:shd w:val="clear" w:color="000000" w:fill="BFBFBF"/>
            <w:noWrap/>
            <w:vAlign w:val="bottom"/>
            <w:hideMark/>
          </w:tcPr>
          <w:p w:rsidR="00337EAF" w:rsidRPr="00337EAF" w:rsidRDefault="00337EAF" w:rsidP="00337EAF">
            <w:pPr>
              <w:spacing w:after="0" w:line="240" w:lineRule="auto"/>
              <w:rPr>
                <w:rFonts w:ascii="Arial" w:eastAsia="Times New Roman" w:hAnsi="Arial" w:cs="Arial"/>
                <w:color w:val="000000"/>
                <w:sz w:val="20"/>
                <w:szCs w:val="20"/>
              </w:rPr>
            </w:pPr>
            <w:r w:rsidRPr="00337EAF">
              <w:rPr>
                <w:rFonts w:ascii="Arial" w:eastAsia="Times New Roman" w:hAnsi="Arial" w:cs="Arial"/>
                <w:color w:val="000000"/>
                <w:sz w:val="20"/>
                <w:szCs w:val="20"/>
              </w:rPr>
              <w:t> </w:t>
            </w:r>
          </w:p>
        </w:tc>
      </w:tr>
    </w:tbl>
    <w:p w:rsidR="003E3379" w:rsidRDefault="003E3379" w:rsidP="005277E5">
      <w:pPr>
        <w:spacing w:after="120"/>
        <w:rPr>
          <w:rFonts w:ascii="Times New Roman" w:hAnsi="Times New Roman" w:cs="Times New Roman"/>
          <w:sz w:val="20"/>
          <w:szCs w:val="20"/>
        </w:rPr>
      </w:pPr>
    </w:p>
    <w:p w:rsidR="00BA3C3D" w:rsidRDefault="003E3379" w:rsidP="005277E5">
      <w:pPr>
        <w:spacing w:after="120"/>
        <w:rPr>
          <w:rFonts w:ascii="Times New Roman" w:hAnsi="Times New Roman" w:cs="Times New Roman"/>
          <w:sz w:val="20"/>
          <w:szCs w:val="20"/>
        </w:rPr>
      </w:pPr>
      <w:r>
        <w:rPr>
          <w:rFonts w:ascii="Times New Roman" w:hAnsi="Times New Roman" w:cs="Times New Roman"/>
          <w:sz w:val="20"/>
          <w:szCs w:val="20"/>
        </w:rPr>
        <w:t>These results are fairly interesting, in that it seems none of the four regressions and none of the individual coefficients are significant at the 5% level!</w:t>
      </w:r>
      <w:r w:rsidR="005E3EFD">
        <w:rPr>
          <w:rFonts w:ascii="Times New Roman" w:hAnsi="Times New Roman" w:cs="Times New Roman"/>
          <w:sz w:val="20"/>
          <w:szCs w:val="20"/>
        </w:rPr>
        <w:t xml:space="preserve">  Basically this does not speak forcefully for any of these models, and even sugg</w:t>
      </w:r>
      <w:r w:rsidR="002E51E2">
        <w:rPr>
          <w:rFonts w:ascii="Times New Roman" w:hAnsi="Times New Roman" w:cs="Times New Roman"/>
          <w:sz w:val="20"/>
          <w:szCs w:val="20"/>
        </w:rPr>
        <w:t>ests that</w:t>
      </w:r>
      <w:r w:rsidR="00F96253">
        <w:rPr>
          <w:rFonts w:ascii="Times New Roman" w:hAnsi="Times New Roman" w:cs="Times New Roman"/>
          <w:sz w:val="20"/>
          <w:szCs w:val="20"/>
        </w:rPr>
        <w:t xml:space="preserve"> we should include </w:t>
      </w:r>
      <w:proofErr w:type="gramStart"/>
      <w:r w:rsidR="00F96253">
        <w:rPr>
          <w:rFonts w:ascii="Times New Roman" w:hAnsi="Times New Roman" w:cs="Times New Roman"/>
          <w:sz w:val="20"/>
          <w:szCs w:val="20"/>
        </w:rPr>
        <w:t>AR(</w:t>
      </w:r>
      <w:proofErr w:type="gramEnd"/>
      <w:r w:rsidR="00F96253">
        <w:rPr>
          <w:rFonts w:ascii="Times New Roman" w:hAnsi="Times New Roman" w:cs="Times New Roman"/>
          <w:sz w:val="20"/>
          <w:szCs w:val="20"/>
        </w:rPr>
        <w:t xml:space="preserve">0) </w:t>
      </w:r>
      <w:r w:rsidR="002E51E2">
        <w:rPr>
          <w:rFonts w:ascii="Times New Roman" w:hAnsi="Times New Roman" w:cs="Times New Roman"/>
          <w:sz w:val="20"/>
          <w:szCs w:val="20"/>
        </w:rPr>
        <w:t>in the set</w:t>
      </w:r>
      <w:r w:rsidR="00F96253">
        <w:rPr>
          <w:rFonts w:ascii="Times New Roman" w:hAnsi="Times New Roman" w:cs="Times New Roman"/>
          <w:sz w:val="20"/>
          <w:szCs w:val="20"/>
        </w:rPr>
        <w:t xml:space="preserve"> of models under consideration.</w:t>
      </w:r>
      <w:r w:rsidR="00FB34E1">
        <w:rPr>
          <w:rFonts w:ascii="Times New Roman" w:hAnsi="Times New Roman" w:cs="Times New Roman"/>
          <w:sz w:val="20"/>
          <w:szCs w:val="20"/>
        </w:rPr>
        <w:t xml:space="preserve">  Based on the time plot, the most likely candidate for a white noise process would be the second difference, i.e., we consider </w:t>
      </w:r>
      <w:proofErr w:type="gramStart"/>
      <w:r w:rsidR="00FB34E1">
        <w:rPr>
          <w:rFonts w:ascii="Times New Roman" w:hAnsi="Times New Roman" w:cs="Times New Roman"/>
          <w:sz w:val="20"/>
          <w:szCs w:val="20"/>
        </w:rPr>
        <w:t>ARIMA(</w:t>
      </w:r>
      <w:proofErr w:type="gramEnd"/>
      <w:r w:rsidR="00FB34E1">
        <w:rPr>
          <w:rFonts w:ascii="Times New Roman" w:hAnsi="Times New Roman" w:cs="Times New Roman"/>
          <w:sz w:val="20"/>
          <w:szCs w:val="20"/>
        </w:rPr>
        <w:t>0,2,0).</w:t>
      </w:r>
    </w:p>
    <w:p w:rsidR="001B2902" w:rsidRDefault="001B2902" w:rsidP="005277E5">
      <w:pPr>
        <w:spacing w:after="120"/>
        <w:rPr>
          <w:rFonts w:ascii="Times New Roman" w:eastAsiaTheme="minorEastAsia" w:hAnsi="Times New Roman" w:cs="Times New Roman"/>
          <w:sz w:val="20"/>
          <w:szCs w:val="20"/>
        </w:rPr>
      </w:pPr>
      <w:r>
        <w:rPr>
          <w:rFonts w:ascii="Times New Roman" w:hAnsi="Times New Roman" w:cs="Times New Roman"/>
          <w:sz w:val="20"/>
          <w:szCs w:val="20"/>
        </w:rPr>
        <w:tab/>
        <w:t xml:space="preserve">We examine each of these five possibilities separately: the four models in the table of P-values above, and </w:t>
      </w:r>
      <w:proofErr w:type="gramStart"/>
      <w:r>
        <w:rPr>
          <w:rFonts w:ascii="Times New Roman" w:hAnsi="Times New Roman" w:cs="Times New Roman"/>
          <w:sz w:val="20"/>
          <w:szCs w:val="20"/>
        </w:rPr>
        <w:t>ARIMA(</w:t>
      </w:r>
      <w:proofErr w:type="gramEnd"/>
      <w:r>
        <w:rPr>
          <w:rFonts w:ascii="Times New Roman" w:hAnsi="Times New Roman" w:cs="Times New Roman"/>
          <w:sz w:val="20"/>
          <w:szCs w:val="20"/>
        </w:rPr>
        <w:t>0,2,0).</w:t>
      </w:r>
      <w:r w:rsidR="005B58FC">
        <w:rPr>
          <w:rFonts w:ascii="Times New Roman" w:hAnsi="Times New Roman" w:cs="Times New Roman"/>
          <w:sz w:val="20"/>
          <w:szCs w:val="20"/>
        </w:rPr>
        <w:t xml:space="preserve">  Let </w:t>
      </w:r>
      <m:oMath>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m:t>
            </m:r>
          </m:sub>
        </m:sSub>
      </m:oMath>
      <w:r w:rsidR="005B58FC">
        <w:rPr>
          <w:rFonts w:ascii="Times New Roman" w:eastAsiaTheme="minorEastAsia" w:hAnsi="Times New Roman" w:cs="Times New Roman"/>
          <w:sz w:val="20"/>
          <w:szCs w:val="20"/>
        </w:rPr>
        <w:t xml:space="preserve"> denote Magnus’ rating at time t;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t</m:t>
            </m:r>
          </m:sub>
        </m:sSub>
      </m:oMath>
      <w:r w:rsidR="005B58FC">
        <w:rPr>
          <w:rFonts w:ascii="Times New Roman" w:eastAsiaTheme="minorEastAsia" w:hAnsi="Times New Roman" w:cs="Times New Roman"/>
          <w:sz w:val="20"/>
          <w:szCs w:val="20"/>
        </w:rPr>
        <w:t xml:space="preserve"> the first difference of that time series;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m:t>
            </m:r>
          </m:e>
          <m:sub>
            <m:r>
              <w:rPr>
                <w:rFonts w:ascii="Cambria Math" w:eastAsiaTheme="minorEastAsia" w:hAnsi="Cambria Math" w:cs="Times New Roman"/>
                <w:sz w:val="20"/>
                <w:szCs w:val="20"/>
              </w:rPr>
              <m:t>t</m:t>
            </m:r>
          </m:sub>
        </m:sSub>
      </m:oMath>
      <w:r w:rsidR="005B58FC">
        <w:rPr>
          <w:rFonts w:ascii="Times New Roman" w:eastAsiaTheme="minorEastAsia" w:hAnsi="Times New Roman" w:cs="Times New Roman"/>
          <w:sz w:val="20"/>
          <w:szCs w:val="20"/>
        </w:rPr>
        <w:t xml:space="preserve"> the second difference.  We will assess the fit for each model in three ways:</w:t>
      </w:r>
    </w:p>
    <w:p w:rsidR="005B58FC" w:rsidRDefault="005B58FC" w:rsidP="005B58FC">
      <w:pPr>
        <w:pStyle w:val="ListParagraph"/>
        <w:numPr>
          <w:ilvl w:val="0"/>
          <w:numId w:val="1"/>
        </w:numPr>
        <w:spacing w:after="120"/>
        <w:rPr>
          <w:rFonts w:ascii="Times New Roman" w:hAnsi="Times New Roman" w:cs="Times New Roman"/>
          <w:sz w:val="20"/>
          <w:szCs w:val="20"/>
        </w:rPr>
      </w:pPr>
      <w:r>
        <w:rPr>
          <w:rFonts w:ascii="Times New Roman" w:hAnsi="Times New Roman" w:cs="Times New Roman"/>
          <w:sz w:val="20"/>
          <w:szCs w:val="20"/>
        </w:rPr>
        <w:t>By a plot of residuals—here we are looking for a residual pattern that might reasonably be from a white noise process</w:t>
      </w:r>
    </w:p>
    <w:p w:rsidR="005B58FC" w:rsidRDefault="005B58FC" w:rsidP="005B58FC">
      <w:pPr>
        <w:pStyle w:val="ListParagraph"/>
        <w:numPr>
          <w:ilvl w:val="0"/>
          <w:numId w:val="1"/>
        </w:numPr>
        <w:spacing w:after="120"/>
        <w:rPr>
          <w:rFonts w:ascii="Times New Roman" w:hAnsi="Times New Roman" w:cs="Times New Roman"/>
          <w:sz w:val="20"/>
          <w:szCs w:val="20"/>
        </w:rPr>
      </w:pPr>
      <w:r>
        <w:rPr>
          <w:rFonts w:ascii="Times New Roman" w:hAnsi="Times New Roman" w:cs="Times New Roman"/>
          <w:sz w:val="20"/>
          <w:szCs w:val="20"/>
        </w:rPr>
        <w:t xml:space="preserve">By a </w:t>
      </w:r>
      <w:proofErr w:type="spellStart"/>
      <w:r>
        <w:rPr>
          <w:rFonts w:ascii="Times New Roman" w:hAnsi="Times New Roman" w:cs="Times New Roman"/>
          <w:sz w:val="20"/>
          <w:szCs w:val="20"/>
        </w:rPr>
        <w:t>quantile</w:t>
      </w:r>
      <w:proofErr w:type="spellEnd"/>
      <w:r>
        <w:rPr>
          <w:rFonts w:ascii="Times New Roman" w:hAnsi="Times New Roman" w:cs="Times New Roman"/>
          <w:sz w:val="20"/>
          <w:szCs w:val="20"/>
        </w:rPr>
        <w:t xml:space="preserve"> plot of the standardized residuals against the standard normal distribution—here we are looking for approximate agreement between the </w:t>
      </w:r>
      <w:proofErr w:type="spellStart"/>
      <w:r>
        <w:rPr>
          <w:rFonts w:ascii="Times New Roman" w:hAnsi="Times New Roman" w:cs="Times New Roman"/>
          <w:sz w:val="20"/>
          <w:szCs w:val="20"/>
        </w:rPr>
        <w:t>quantiles</w:t>
      </w:r>
      <w:proofErr w:type="spellEnd"/>
      <w:r>
        <w:rPr>
          <w:rFonts w:ascii="Times New Roman" w:hAnsi="Times New Roman" w:cs="Times New Roman"/>
          <w:sz w:val="20"/>
          <w:szCs w:val="20"/>
        </w:rPr>
        <w:t>, to support a claim of a normal distribution for the residuals</w:t>
      </w:r>
    </w:p>
    <w:p w:rsidR="005B58FC" w:rsidRDefault="005B58FC" w:rsidP="005B58FC">
      <w:pPr>
        <w:pStyle w:val="ListParagraph"/>
        <w:numPr>
          <w:ilvl w:val="0"/>
          <w:numId w:val="1"/>
        </w:numPr>
        <w:spacing w:after="120"/>
        <w:rPr>
          <w:rFonts w:ascii="Times New Roman" w:hAnsi="Times New Roman" w:cs="Times New Roman"/>
          <w:sz w:val="20"/>
          <w:szCs w:val="20"/>
        </w:rPr>
      </w:pPr>
      <w:r>
        <w:rPr>
          <w:rFonts w:ascii="Times New Roman" w:hAnsi="Times New Roman" w:cs="Times New Roman"/>
          <w:sz w:val="20"/>
          <w:szCs w:val="20"/>
        </w:rPr>
        <w:t xml:space="preserve">By computing the </w:t>
      </w:r>
      <w:proofErr w:type="spellStart"/>
      <w:r>
        <w:rPr>
          <w:rFonts w:ascii="Times New Roman" w:hAnsi="Times New Roman" w:cs="Times New Roman"/>
          <w:sz w:val="20"/>
          <w:szCs w:val="20"/>
        </w:rPr>
        <w:t>Ljun</w:t>
      </w:r>
      <w:r w:rsidR="00EA69AE">
        <w:rPr>
          <w:rFonts w:ascii="Times New Roman" w:hAnsi="Times New Roman" w:cs="Times New Roman"/>
          <w:sz w:val="20"/>
          <w:szCs w:val="20"/>
        </w:rPr>
        <w:t>g</w:t>
      </w:r>
      <w:proofErr w:type="spellEnd"/>
      <w:r w:rsidR="00EA69AE">
        <w:rPr>
          <w:rFonts w:ascii="Times New Roman" w:hAnsi="Times New Roman" w:cs="Times New Roman"/>
          <w:sz w:val="20"/>
          <w:szCs w:val="20"/>
        </w:rPr>
        <w:t>-Box Q statistic at lag 3</w:t>
      </w:r>
      <w:r>
        <w:rPr>
          <w:rFonts w:ascii="Times New Roman" w:hAnsi="Times New Roman" w:cs="Times New Roman"/>
          <w:sz w:val="20"/>
          <w:szCs w:val="20"/>
        </w:rPr>
        <w:t>, and examining the P-value—here we are looking for a low statistic (high P-value) to fail to reject the null hypothesis that the residual</w:t>
      </w:r>
      <w:r w:rsidR="004546F4">
        <w:rPr>
          <w:rFonts w:ascii="Times New Roman" w:hAnsi="Times New Roman" w:cs="Times New Roman"/>
          <w:sz w:val="20"/>
          <w:szCs w:val="20"/>
        </w:rPr>
        <w:t>s are independent.</w:t>
      </w:r>
    </w:p>
    <w:p w:rsidR="004546F4" w:rsidRPr="005B58FC" w:rsidRDefault="00EA69AE" w:rsidP="004546F4">
      <w:pPr>
        <w:pStyle w:val="ListParagraph"/>
        <w:numPr>
          <w:ilvl w:val="1"/>
          <w:numId w:val="1"/>
        </w:numPr>
        <w:spacing w:after="120"/>
        <w:rPr>
          <w:rFonts w:ascii="Times New Roman" w:hAnsi="Times New Roman" w:cs="Times New Roman"/>
          <w:sz w:val="20"/>
          <w:szCs w:val="20"/>
        </w:rPr>
      </w:pPr>
      <w:r>
        <w:rPr>
          <w:rFonts w:ascii="Times New Roman" w:hAnsi="Times New Roman" w:cs="Times New Roman"/>
          <w:sz w:val="20"/>
          <w:szCs w:val="20"/>
        </w:rPr>
        <w:t>Note that selecting lag 3</w:t>
      </w:r>
      <w:r w:rsidR="004546F4">
        <w:rPr>
          <w:rFonts w:ascii="Times New Roman" w:hAnsi="Times New Roman" w:cs="Times New Roman"/>
          <w:sz w:val="20"/>
          <w:szCs w:val="20"/>
        </w:rPr>
        <w:t xml:space="preserve"> for this calculation is a judgment call.  We have 13-16 data points</w:t>
      </w:r>
      <w:r w:rsidR="00D679CB">
        <w:rPr>
          <w:rFonts w:ascii="Times New Roman" w:hAnsi="Times New Roman" w:cs="Times New Roman"/>
          <w:sz w:val="20"/>
          <w:szCs w:val="20"/>
        </w:rPr>
        <w:t xml:space="preserve"> and 0-2 estimated parameters</w:t>
      </w:r>
      <w:r w:rsidR="004546F4">
        <w:rPr>
          <w:rFonts w:ascii="Times New Roman" w:hAnsi="Times New Roman" w:cs="Times New Roman"/>
          <w:sz w:val="20"/>
          <w:szCs w:val="20"/>
        </w:rPr>
        <w:t>, depending on the model being tested</w:t>
      </w:r>
      <w:r w:rsidR="00D679CB">
        <w:rPr>
          <w:rFonts w:ascii="Times New Roman" w:hAnsi="Times New Roman" w:cs="Times New Roman"/>
          <w:sz w:val="20"/>
          <w:szCs w:val="20"/>
        </w:rPr>
        <w:t xml:space="preserve">.  We may not be able to compute the Q-statistic at lag 1 or 2 since </w:t>
      </w:r>
      <w:r w:rsidR="00D679CB">
        <w:rPr>
          <w:rFonts w:ascii="Times New Roman" w:hAnsi="Times New Roman" w:cs="Times New Roman"/>
          <w:sz w:val="20"/>
          <w:szCs w:val="20"/>
        </w:rPr>
        <w:lastRenderedPageBreak/>
        <w:t xml:space="preserve">the degrees of freedom may be undefined.  Too large a lag may not be meaningful given the </w:t>
      </w:r>
      <w:proofErr w:type="spellStart"/>
      <w:r w:rsidR="00D679CB">
        <w:rPr>
          <w:rFonts w:ascii="Times New Roman" w:hAnsi="Times New Roman" w:cs="Times New Roman"/>
          <w:sz w:val="20"/>
          <w:szCs w:val="20"/>
        </w:rPr>
        <w:t>sparsity</w:t>
      </w:r>
      <w:proofErr w:type="spellEnd"/>
      <w:r w:rsidR="00D679CB">
        <w:rPr>
          <w:rFonts w:ascii="Times New Roman" w:hAnsi="Times New Roman" w:cs="Times New Roman"/>
          <w:sz w:val="20"/>
          <w:szCs w:val="20"/>
        </w:rPr>
        <w:t xml:space="preserve"> of data.</w:t>
      </w:r>
      <w:r w:rsidR="00C3485D">
        <w:rPr>
          <w:rFonts w:ascii="Times New Roman" w:hAnsi="Times New Roman" w:cs="Times New Roman"/>
          <w:sz w:val="20"/>
          <w:szCs w:val="20"/>
        </w:rPr>
        <w:t xml:space="preserve">  Some sources suggest that a lag of about N/5 is often appropriate for smaller datasets, so we focus on lag 3.</w:t>
      </w:r>
    </w:p>
    <w:p w:rsidR="005B58FC" w:rsidRDefault="005B58FC" w:rsidP="005277E5">
      <w:pPr>
        <w:spacing w:after="120"/>
        <w:rPr>
          <w:rFonts w:ascii="Times New Roman" w:hAnsi="Times New Roman" w:cs="Times New Roman"/>
          <w:b/>
          <w:i/>
          <w:sz w:val="20"/>
          <w:szCs w:val="20"/>
        </w:rPr>
      </w:pPr>
      <w:proofErr w:type="gramStart"/>
      <w:r w:rsidRPr="005B58FC">
        <w:rPr>
          <w:rFonts w:ascii="Times New Roman" w:hAnsi="Times New Roman" w:cs="Times New Roman"/>
          <w:b/>
          <w:i/>
          <w:sz w:val="20"/>
          <w:szCs w:val="20"/>
        </w:rPr>
        <w:t>ARIMA(</w:t>
      </w:r>
      <w:proofErr w:type="gramEnd"/>
      <w:r w:rsidRPr="005B58FC">
        <w:rPr>
          <w:rFonts w:ascii="Times New Roman" w:hAnsi="Times New Roman" w:cs="Times New Roman"/>
          <w:b/>
          <w:i/>
          <w:sz w:val="20"/>
          <w:szCs w:val="20"/>
        </w:rPr>
        <w:t>0,2,0)</w:t>
      </w:r>
    </w:p>
    <w:p w:rsidR="005B58FC" w:rsidRDefault="00760067" w:rsidP="00760067">
      <w:pPr>
        <w:spacing w:after="120"/>
        <w:jc w:val="center"/>
        <w:rPr>
          <w:rFonts w:ascii="Times New Roman" w:hAnsi="Times New Roman" w:cs="Times New Roman"/>
          <w:sz w:val="20"/>
          <w:szCs w:val="20"/>
        </w:rPr>
      </w:pPr>
      <w:r>
        <w:rPr>
          <w:noProof/>
        </w:rPr>
        <w:drawing>
          <wp:inline distT="0" distB="0" distL="0" distR="0" wp14:anchorId="2F5753DB" wp14:editId="5242CC5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60067" w:rsidRDefault="00C55787" w:rsidP="00760067">
      <w:pPr>
        <w:spacing w:after="120"/>
        <w:jc w:val="center"/>
        <w:rPr>
          <w:rFonts w:ascii="Times New Roman" w:hAnsi="Times New Roman" w:cs="Times New Roman"/>
          <w:sz w:val="20"/>
          <w:szCs w:val="20"/>
        </w:rPr>
      </w:pPr>
      <w:r>
        <w:rPr>
          <w:noProof/>
        </w:rPr>
        <w:drawing>
          <wp:inline distT="0" distB="0" distL="0" distR="0" wp14:anchorId="0BD35E53" wp14:editId="266050D3">
            <wp:extent cx="4572000" cy="27432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55787" w:rsidRDefault="009859B5" w:rsidP="009859B5">
      <w:pPr>
        <w:spacing w:after="120"/>
        <w:rPr>
          <w:rFonts w:ascii="Times New Roman" w:hAnsi="Times New Roman" w:cs="Times New Roman"/>
          <w:sz w:val="20"/>
          <w:szCs w:val="20"/>
        </w:rPr>
      </w:pPr>
      <w:r>
        <w:rPr>
          <w:rFonts w:ascii="Times New Roman" w:hAnsi="Times New Roman" w:cs="Times New Roman"/>
          <w:sz w:val="20"/>
          <w:szCs w:val="20"/>
        </w:rPr>
        <w:t xml:space="preserve">The </w:t>
      </w:r>
      <w:proofErr w:type="spellStart"/>
      <w:r>
        <w:rPr>
          <w:rFonts w:ascii="Times New Roman" w:hAnsi="Times New Roman" w:cs="Times New Roman"/>
          <w:sz w:val="20"/>
          <w:szCs w:val="20"/>
        </w:rPr>
        <w:t>Ljung</w:t>
      </w:r>
      <w:proofErr w:type="spellEnd"/>
      <w:r>
        <w:rPr>
          <w:rFonts w:ascii="Times New Roman" w:hAnsi="Times New Roman" w:cs="Times New Roman"/>
          <w:sz w:val="20"/>
          <w:szCs w:val="20"/>
        </w:rPr>
        <w:t>-Box Q Statistic at lag 3 for the series of residuals is 3.83; on a chi-square distribution with three degrees of freedom, this has a P-Value of 0.28, so we would likely not reject the null hypothesis (independence of residuals) at any reasonable confidence level.</w:t>
      </w:r>
      <w:r w:rsidR="006034B7">
        <w:rPr>
          <w:rFonts w:ascii="Times New Roman" w:hAnsi="Times New Roman" w:cs="Times New Roman"/>
          <w:sz w:val="20"/>
          <w:szCs w:val="20"/>
        </w:rPr>
        <w:t xml:space="preserve">  Furthermore, the residuals appear to resemble a white noise process and the </w:t>
      </w:r>
      <w:proofErr w:type="spellStart"/>
      <w:r w:rsidR="006034B7">
        <w:rPr>
          <w:rFonts w:ascii="Times New Roman" w:hAnsi="Times New Roman" w:cs="Times New Roman"/>
          <w:sz w:val="20"/>
          <w:szCs w:val="20"/>
        </w:rPr>
        <w:t>quantiles</w:t>
      </w:r>
      <w:proofErr w:type="spellEnd"/>
      <w:r w:rsidR="006034B7">
        <w:rPr>
          <w:rFonts w:ascii="Times New Roman" w:hAnsi="Times New Roman" w:cs="Times New Roman"/>
          <w:sz w:val="20"/>
          <w:szCs w:val="20"/>
        </w:rPr>
        <w:t xml:space="preserve"> lie fairly close to the normal </w:t>
      </w:r>
      <w:proofErr w:type="spellStart"/>
      <w:r w:rsidR="006034B7">
        <w:rPr>
          <w:rFonts w:ascii="Times New Roman" w:hAnsi="Times New Roman" w:cs="Times New Roman"/>
          <w:sz w:val="20"/>
          <w:szCs w:val="20"/>
        </w:rPr>
        <w:t>quantiles</w:t>
      </w:r>
      <w:proofErr w:type="spellEnd"/>
      <w:r w:rsidR="006034B7">
        <w:rPr>
          <w:rFonts w:ascii="Times New Roman" w:hAnsi="Times New Roman" w:cs="Times New Roman"/>
          <w:sz w:val="20"/>
          <w:szCs w:val="20"/>
        </w:rPr>
        <w:t xml:space="preserve">.  </w:t>
      </w:r>
      <w:r w:rsidR="00004785">
        <w:rPr>
          <w:rFonts w:ascii="Times New Roman" w:hAnsi="Times New Roman" w:cs="Times New Roman"/>
          <w:sz w:val="20"/>
          <w:szCs w:val="20"/>
        </w:rPr>
        <w:t xml:space="preserve">This could be considered an acceptable model.  </w:t>
      </w:r>
    </w:p>
    <w:p w:rsidR="00C55787" w:rsidRDefault="00004785" w:rsidP="00C55787">
      <w:pPr>
        <w:spacing w:after="120"/>
        <w:ind w:firstLine="720"/>
        <w:rPr>
          <w:rFonts w:ascii="Times New Roman" w:hAnsi="Times New Roman" w:cs="Times New Roman"/>
          <w:sz w:val="20"/>
          <w:szCs w:val="20"/>
        </w:rPr>
      </w:pPr>
      <w:r>
        <w:rPr>
          <w:rFonts w:ascii="Times New Roman" w:hAnsi="Times New Roman" w:cs="Times New Roman"/>
          <w:sz w:val="20"/>
          <w:szCs w:val="20"/>
        </w:rPr>
        <w:t>Since it is also the simplest (zero estimated parameters), we will require a great deal of improvement in the other models to c</w:t>
      </w:r>
      <w:r w:rsidR="00633785">
        <w:rPr>
          <w:rFonts w:ascii="Times New Roman" w:hAnsi="Times New Roman" w:cs="Times New Roman"/>
          <w:sz w:val="20"/>
          <w:szCs w:val="20"/>
        </w:rPr>
        <w:t>hoose one of them over this one.</w:t>
      </w:r>
      <w:r w:rsidR="00C55787">
        <w:rPr>
          <w:rFonts w:ascii="Times New Roman" w:hAnsi="Times New Roman" w:cs="Times New Roman"/>
          <w:sz w:val="20"/>
          <w:szCs w:val="20"/>
        </w:rPr>
        <w:t xml:space="preserve">  Over the next two pages, I show the </w:t>
      </w:r>
      <w:proofErr w:type="spellStart"/>
      <w:r w:rsidR="00C55787">
        <w:rPr>
          <w:rFonts w:ascii="Times New Roman" w:hAnsi="Times New Roman" w:cs="Times New Roman"/>
          <w:sz w:val="20"/>
          <w:szCs w:val="20"/>
        </w:rPr>
        <w:t>quantile</w:t>
      </w:r>
      <w:proofErr w:type="spellEnd"/>
      <w:r w:rsidR="00C55787">
        <w:rPr>
          <w:rFonts w:ascii="Times New Roman" w:hAnsi="Times New Roman" w:cs="Times New Roman"/>
          <w:sz w:val="20"/>
          <w:szCs w:val="20"/>
        </w:rPr>
        <w:t xml:space="preserve"> comparison plot for the residuals of each model.  My intention is to show that none of these plots indicate a major improvement over the one above—in many cases, they are </w:t>
      </w:r>
      <w:r w:rsidR="004A20BC">
        <w:rPr>
          <w:rFonts w:ascii="Times New Roman" w:hAnsi="Times New Roman" w:cs="Times New Roman"/>
          <w:sz w:val="20"/>
          <w:szCs w:val="20"/>
        </w:rPr>
        <w:t xml:space="preserve">in fact worse.  This is intended to support the notion that the </w:t>
      </w:r>
      <w:proofErr w:type="gramStart"/>
      <w:r w:rsidR="004A20BC">
        <w:rPr>
          <w:rFonts w:ascii="Times New Roman" w:hAnsi="Times New Roman" w:cs="Times New Roman"/>
          <w:sz w:val="20"/>
          <w:szCs w:val="20"/>
        </w:rPr>
        <w:t>ARIMA(</w:t>
      </w:r>
      <w:proofErr w:type="gramEnd"/>
      <w:r w:rsidR="004A20BC">
        <w:rPr>
          <w:rFonts w:ascii="Times New Roman" w:hAnsi="Times New Roman" w:cs="Times New Roman"/>
          <w:sz w:val="20"/>
          <w:szCs w:val="20"/>
        </w:rPr>
        <w:t>0,2,0) is the most appropriate of the models considered.</w:t>
      </w:r>
      <w:r w:rsidR="00526352">
        <w:rPr>
          <w:rFonts w:ascii="Times New Roman" w:hAnsi="Times New Roman" w:cs="Times New Roman"/>
          <w:sz w:val="20"/>
          <w:szCs w:val="20"/>
        </w:rPr>
        <w:t xml:space="preserve">  Additional detail on these fitted models is provided in the attached workbook, “Time Series Project – Fisette.xlsb.”</w:t>
      </w: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
    <w:p w:rsidR="00633785" w:rsidRDefault="00633785" w:rsidP="009859B5">
      <w:pPr>
        <w:spacing w:after="120"/>
        <w:rPr>
          <w:rFonts w:ascii="Times New Roman" w:hAnsi="Times New Roman" w:cs="Times New Roman"/>
          <w:b/>
          <w:i/>
          <w:sz w:val="20"/>
          <w:szCs w:val="20"/>
        </w:rPr>
      </w:pPr>
      <w:proofErr w:type="gramStart"/>
      <w:r>
        <w:rPr>
          <w:rFonts w:ascii="Times New Roman" w:hAnsi="Times New Roman" w:cs="Times New Roman"/>
          <w:b/>
          <w:i/>
          <w:sz w:val="20"/>
          <w:szCs w:val="20"/>
        </w:rPr>
        <w:t>ARIMA(</w:t>
      </w:r>
      <w:proofErr w:type="gramEnd"/>
      <w:r>
        <w:rPr>
          <w:rFonts w:ascii="Times New Roman" w:hAnsi="Times New Roman" w:cs="Times New Roman"/>
          <w:b/>
          <w:i/>
          <w:sz w:val="20"/>
          <w:szCs w:val="20"/>
        </w:rPr>
        <w:t>2,1,0)</w:t>
      </w:r>
    </w:p>
    <w:p w:rsidR="00633785" w:rsidRDefault="00633785" w:rsidP="00633785">
      <w:pPr>
        <w:spacing w:after="120"/>
        <w:jc w:val="center"/>
        <w:rPr>
          <w:rFonts w:ascii="Times New Roman" w:hAnsi="Times New Roman" w:cs="Times New Roman"/>
          <w:sz w:val="20"/>
          <w:szCs w:val="20"/>
        </w:rPr>
      </w:pPr>
      <w:r>
        <w:rPr>
          <w:noProof/>
        </w:rPr>
        <w:drawing>
          <wp:inline distT="0" distB="0" distL="0" distR="0" wp14:anchorId="31EAD75F" wp14:editId="74E894A4">
            <wp:extent cx="4572000" cy="2743200"/>
            <wp:effectExtent l="0" t="0" r="19050"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55787" w:rsidRDefault="00C55787" w:rsidP="00C55787">
      <w:pPr>
        <w:spacing w:after="120"/>
        <w:rPr>
          <w:rFonts w:ascii="Times New Roman" w:hAnsi="Times New Roman" w:cs="Times New Roman"/>
          <w:b/>
          <w:i/>
          <w:sz w:val="20"/>
          <w:szCs w:val="20"/>
        </w:rPr>
      </w:pPr>
      <w:proofErr w:type="gramStart"/>
      <w:r>
        <w:rPr>
          <w:rFonts w:ascii="Times New Roman" w:hAnsi="Times New Roman" w:cs="Times New Roman"/>
          <w:b/>
          <w:i/>
          <w:sz w:val="20"/>
          <w:szCs w:val="20"/>
        </w:rPr>
        <w:t>ARIMA(</w:t>
      </w:r>
      <w:proofErr w:type="gramEnd"/>
      <w:r>
        <w:rPr>
          <w:rFonts w:ascii="Times New Roman" w:hAnsi="Times New Roman" w:cs="Times New Roman"/>
          <w:b/>
          <w:i/>
          <w:sz w:val="20"/>
          <w:szCs w:val="20"/>
        </w:rPr>
        <w:t>1,1,0)</w:t>
      </w:r>
    </w:p>
    <w:p w:rsidR="00C55787" w:rsidRDefault="00C55787" w:rsidP="00C55787">
      <w:pPr>
        <w:spacing w:after="120"/>
        <w:jc w:val="center"/>
        <w:rPr>
          <w:rFonts w:ascii="Times New Roman" w:hAnsi="Times New Roman" w:cs="Times New Roman"/>
          <w:sz w:val="20"/>
          <w:szCs w:val="20"/>
        </w:rPr>
      </w:pPr>
      <w:r>
        <w:rPr>
          <w:noProof/>
        </w:rPr>
        <w:drawing>
          <wp:inline distT="0" distB="0" distL="0" distR="0" wp14:anchorId="159A0835" wp14:editId="2B53CB84">
            <wp:extent cx="4572000" cy="27432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
    <w:p w:rsidR="00C55787" w:rsidRDefault="00C55787" w:rsidP="00C55787">
      <w:pPr>
        <w:spacing w:after="120"/>
        <w:rPr>
          <w:rFonts w:ascii="Times New Roman" w:hAnsi="Times New Roman" w:cs="Times New Roman"/>
          <w:b/>
          <w:i/>
          <w:sz w:val="20"/>
          <w:szCs w:val="20"/>
        </w:rPr>
      </w:pPr>
      <w:proofErr w:type="gramStart"/>
      <w:r>
        <w:rPr>
          <w:rFonts w:ascii="Times New Roman" w:hAnsi="Times New Roman" w:cs="Times New Roman"/>
          <w:b/>
          <w:i/>
          <w:sz w:val="20"/>
          <w:szCs w:val="20"/>
        </w:rPr>
        <w:t>ARIMA(</w:t>
      </w:r>
      <w:proofErr w:type="gramEnd"/>
      <w:r>
        <w:rPr>
          <w:rFonts w:ascii="Times New Roman" w:hAnsi="Times New Roman" w:cs="Times New Roman"/>
          <w:b/>
          <w:i/>
          <w:sz w:val="20"/>
          <w:szCs w:val="20"/>
        </w:rPr>
        <w:t>2,2,0)</w:t>
      </w:r>
    </w:p>
    <w:p w:rsidR="00C55787" w:rsidRDefault="00C55787" w:rsidP="00C55787">
      <w:pPr>
        <w:spacing w:after="120"/>
        <w:jc w:val="center"/>
        <w:rPr>
          <w:rFonts w:ascii="Times New Roman" w:hAnsi="Times New Roman" w:cs="Times New Roman"/>
          <w:sz w:val="20"/>
          <w:szCs w:val="20"/>
        </w:rPr>
      </w:pPr>
      <w:r>
        <w:rPr>
          <w:noProof/>
        </w:rPr>
        <w:drawing>
          <wp:inline distT="0" distB="0" distL="0" distR="0" wp14:anchorId="4B07FDD4" wp14:editId="29E8E51F">
            <wp:extent cx="4572000" cy="2743200"/>
            <wp:effectExtent l="0" t="0" r="1905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55787" w:rsidRDefault="00C55787" w:rsidP="00C55787">
      <w:pPr>
        <w:spacing w:after="120"/>
        <w:rPr>
          <w:rFonts w:ascii="Times New Roman" w:hAnsi="Times New Roman" w:cs="Times New Roman"/>
          <w:b/>
          <w:i/>
          <w:sz w:val="20"/>
          <w:szCs w:val="20"/>
        </w:rPr>
      </w:pPr>
      <w:proofErr w:type="gramStart"/>
      <w:r>
        <w:rPr>
          <w:rFonts w:ascii="Times New Roman" w:hAnsi="Times New Roman" w:cs="Times New Roman"/>
          <w:b/>
          <w:i/>
          <w:sz w:val="20"/>
          <w:szCs w:val="20"/>
        </w:rPr>
        <w:t>ARIMA(</w:t>
      </w:r>
      <w:proofErr w:type="gramEnd"/>
      <w:r>
        <w:rPr>
          <w:rFonts w:ascii="Times New Roman" w:hAnsi="Times New Roman" w:cs="Times New Roman"/>
          <w:b/>
          <w:i/>
          <w:sz w:val="20"/>
          <w:szCs w:val="20"/>
        </w:rPr>
        <w:t>1,2,0)</w:t>
      </w:r>
    </w:p>
    <w:p w:rsidR="00C55787" w:rsidRDefault="00C55787" w:rsidP="00C55787">
      <w:pPr>
        <w:spacing w:after="120"/>
        <w:jc w:val="center"/>
        <w:rPr>
          <w:rFonts w:ascii="Times New Roman" w:hAnsi="Times New Roman" w:cs="Times New Roman"/>
          <w:sz w:val="20"/>
          <w:szCs w:val="20"/>
        </w:rPr>
      </w:pPr>
      <w:r>
        <w:rPr>
          <w:noProof/>
        </w:rPr>
        <w:drawing>
          <wp:inline distT="0" distB="0" distL="0" distR="0" wp14:anchorId="012B064D" wp14:editId="338933F4">
            <wp:extent cx="4572000" cy="2743200"/>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26352" w:rsidRDefault="00526352" w:rsidP="00C55787">
      <w:pPr>
        <w:spacing w:after="120"/>
        <w:jc w:val="center"/>
        <w:rPr>
          <w:rFonts w:ascii="Times New Roman" w:hAnsi="Times New Roman" w:cs="Times New Roman"/>
          <w:b/>
          <w:sz w:val="24"/>
          <w:szCs w:val="24"/>
        </w:rPr>
      </w:pPr>
      <w:r>
        <w:rPr>
          <w:rFonts w:ascii="Times New Roman" w:hAnsi="Times New Roman" w:cs="Times New Roman"/>
          <w:b/>
          <w:sz w:val="24"/>
          <w:szCs w:val="24"/>
        </w:rPr>
        <w:t>Conclusion</w:t>
      </w:r>
    </w:p>
    <w:p w:rsidR="00C67C13" w:rsidRDefault="00C67C13" w:rsidP="00C67C13">
      <w:pPr>
        <w:spacing w:after="120"/>
        <w:rPr>
          <w:rFonts w:ascii="Times New Roman" w:hAnsi="Times New Roman" w:cs="Times New Roman"/>
          <w:sz w:val="20"/>
          <w:szCs w:val="20"/>
        </w:rPr>
      </w:pPr>
      <w:r>
        <w:rPr>
          <w:rFonts w:ascii="Times New Roman" w:hAnsi="Times New Roman" w:cs="Times New Roman"/>
          <w:b/>
          <w:sz w:val="20"/>
          <w:szCs w:val="20"/>
        </w:rPr>
        <w:tab/>
      </w:r>
      <w:r>
        <w:rPr>
          <w:rFonts w:ascii="Times New Roman" w:hAnsi="Times New Roman" w:cs="Times New Roman"/>
          <w:sz w:val="20"/>
          <w:szCs w:val="20"/>
        </w:rPr>
        <w:t xml:space="preserve">We fit several </w:t>
      </w:r>
      <w:proofErr w:type="gramStart"/>
      <w:r>
        <w:rPr>
          <w:rFonts w:ascii="Times New Roman" w:hAnsi="Times New Roman" w:cs="Times New Roman"/>
          <w:sz w:val="20"/>
          <w:szCs w:val="20"/>
        </w:rPr>
        <w:t>ARIMA(</w:t>
      </w:r>
      <w:proofErr w:type="spellStart"/>
      <w:proofErr w:type="gramEnd"/>
      <w:r>
        <w:rPr>
          <w:rFonts w:ascii="Times New Roman" w:hAnsi="Times New Roman" w:cs="Times New Roman"/>
          <w:sz w:val="20"/>
          <w:szCs w:val="20"/>
        </w:rPr>
        <w:t>p,d,q</w:t>
      </w:r>
      <w:proofErr w:type="spellEnd"/>
      <w:r>
        <w:rPr>
          <w:rFonts w:ascii="Times New Roman" w:hAnsi="Times New Roman" w:cs="Times New Roman"/>
          <w:sz w:val="20"/>
          <w:szCs w:val="20"/>
        </w:rPr>
        <w:t xml:space="preserve">) models to Magnus </w:t>
      </w:r>
      <w:proofErr w:type="spellStart"/>
      <w:r>
        <w:rPr>
          <w:rFonts w:ascii="Times New Roman" w:hAnsi="Times New Roman" w:cs="Times New Roman"/>
          <w:sz w:val="20"/>
          <w:szCs w:val="20"/>
        </w:rPr>
        <w:t>Carlsen’s</w:t>
      </w:r>
      <w:proofErr w:type="spellEnd"/>
      <w:r>
        <w:rPr>
          <w:rFonts w:ascii="Times New Roman" w:hAnsi="Times New Roman" w:cs="Times New Roman"/>
          <w:sz w:val="20"/>
          <w:szCs w:val="20"/>
        </w:rPr>
        <w:t xml:space="preserve"> chess rating in order to determine whether an appropriate such model could be found.</w:t>
      </w:r>
      <w:r w:rsidR="007452B5">
        <w:rPr>
          <w:rFonts w:ascii="Times New Roman" w:hAnsi="Times New Roman" w:cs="Times New Roman"/>
          <w:sz w:val="20"/>
          <w:szCs w:val="20"/>
        </w:rPr>
        <w:t xml:space="preserve">  We focused on first and second difference models since the plots of these observations appeared to support a possible stationary model; we focused on AR(p) models (q=0) since these could be handled with simple regression, with the intention that we could consider MA terms as needed if an appropriate model could not be developed.</w:t>
      </w:r>
    </w:p>
    <w:p w:rsidR="00A15699" w:rsidRPr="00C67C13" w:rsidRDefault="00A15699" w:rsidP="00C67C13">
      <w:pPr>
        <w:spacing w:after="120"/>
        <w:rPr>
          <w:rFonts w:ascii="Times New Roman" w:hAnsi="Times New Roman" w:cs="Times New Roman"/>
          <w:sz w:val="20"/>
          <w:szCs w:val="20"/>
        </w:rPr>
      </w:pPr>
      <w:r>
        <w:rPr>
          <w:rFonts w:ascii="Times New Roman" w:hAnsi="Times New Roman" w:cs="Times New Roman"/>
          <w:sz w:val="20"/>
          <w:szCs w:val="20"/>
        </w:rPr>
        <w:tab/>
        <w:t xml:space="preserve">None of the fit regressions for ARIMA(1,1,0), ARIMA(2,1,0), ARIMA(1,2,0), or ARIMA(2,2,0) produced statistically significant regression coefficients; this suggested that we also consider models with p=0.  We focused on </w:t>
      </w:r>
      <w:proofErr w:type="gramStart"/>
      <w:r>
        <w:rPr>
          <w:rFonts w:ascii="Times New Roman" w:hAnsi="Times New Roman" w:cs="Times New Roman"/>
          <w:sz w:val="20"/>
          <w:szCs w:val="20"/>
        </w:rPr>
        <w:t>ARIMA(</w:t>
      </w:r>
      <w:proofErr w:type="gramEnd"/>
      <w:r>
        <w:rPr>
          <w:rFonts w:ascii="Times New Roman" w:hAnsi="Times New Roman" w:cs="Times New Roman"/>
          <w:sz w:val="20"/>
          <w:szCs w:val="20"/>
        </w:rPr>
        <w:t xml:space="preserve">0,2,0) since the residual plot of that model appeared most closely to emulate a white noise process.  The </w:t>
      </w:r>
      <w:proofErr w:type="spellStart"/>
      <w:r>
        <w:rPr>
          <w:rFonts w:ascii="Times New Roman" w:hAnsi="Times New Roman" w:cs="Times New Roman"/>
          <w:sz w:val="20"/>
          <w:szCs w:val="20"/>
        </w:rPr>
        <w:t>quantile</w:t>
      </w:r>
      <w:proofErr w:type="spellEnd"/>
      <w:r>
        <w:rPr>
          <w:rFonts w:ascii="Times New Roman" w:hAnsi="Times New Roman" w:cs="Times New Roman"/>
          <w:sz w:val="20"/>
          <w:szCs w:val="20"/>
        </w:rPr>
        <w:t xml:space="preserve"> comparison of residuals of the </w:t>
      </w:r>
      <w:proofErr w:type="gramStart"/>
      <w:r>
        <w:rPr>
          <w:rFonts w:ascii="Times New Roman" w:hAnsi="Times New Roman" w:cs="Times New Roman"/>
          <w:sz w:val="20"/>
          <w:szCs w:val="20"/>
        </w:rPr>
        <w:t>ARIMA(</w:t>
      </w:r>
      <w:proofErr w:type="gramEnd"/>
      <w:r>
        <w:rPr>
          <w:rFonts w:ascii="Times New Roman" w:hAnsi="Times New Roman" w:cs="Times New Roman"/>
          <w:sz w:val="20"/>
          <w:szCs w:val="20"/>
        </w:rPr>
        <w:t xml:space="preserve">0,2,0) looked good, and the </w:t>
      </w:r>
      <w:proofErr w:type="spellStart"/>
      <w:r>
        <w:rPr>
          <w:rFonts w:ascii="Times New Roman" w:hAnsi="Times New Roman" w:cs="Times New Roman"/>
          <w:sz w:val="20"/>
          <w:szCs w:val="20"/>
        </w:rPr>
        <w:t>Ljung</w:t>
      </w:r>
      <w:proofErr w:type="spellEnd"/>
      <w:r>
        <w:rPr>
          <w:rFonts w:ascii="Times New Roman" w:hAnsi="Times New Roman" w:cs="Times New Roman"/>
          <w:sz w:val="20"/>
          <w:szCs w:val="20"/>
        </w:rPr>
        <w:t xml:space="preserve">-Box test did not call for rejecting the hypothesis that the residuals were independently distributed.  Since none of the other four models showed marked improvement in the </w:t>
      </w:r>
      <w:proofErr w:type="spellStart"/>
      <w:r>
        <w:rPr>
          <w:rFonts w:ascii="Times New Roman" w:hAnsi="Times New Roman" w:cs="Times New Roman"/>
          <w:sz w:val="20"/>
          <w:szCs w:val="20"/>
        </w:rPr>
        <w:t>quantile</w:t>
      </w:r>
      <w:proofErr w:type="spellEnd"/>
      <w:r>
        <w:rPr>
          <w:rFonts w:ascii="Times New Roman" w:hAnsi="Times New Roman" w:cs="Times New Roman"/>
          <w:sz w:val="20"/>
          <w:szCs w:val="20"/>
        </w:rPr>
        <w:t xml:space="preserve"> comparison, we </w:t>
      </w:r>
      <w:r w:rsidR="009B6074">
        <w:rPr>
          <w:rFonts w:ascii="Times New Roman" w:hAnsi="Times New Roman" w:cs="Times New Roman"/>
          <w:sz w:val="20"/>
          <w:szCs w:val="20"/>
        </w:rPr>
        <w:t xml:space="preserve">selected the </w:t>
      </w:r>
      <w:proofErr w:type="gramStart"/>
      <w:r w:rsidR="009B6074">
        <w:rPr>
          <w:rFonts w:ascii="Times New Roman" w:hAnsi="Times New Roman" w:cs="Times New Roman"/>
          <w:sz w:val="20"/>
          <w:szCs w:val="20"/>
        </w:rPr>
        <w:t>ARIMA(</w:t>
      </w:r>
      <w:proofErr w:type="gramEnd"/>
      <w:r w:rsidR="009B6074">
        <w:rPr>
          <w:rFonts w:ascii="Times New Roman" w:hAnsi="Times New Roman" w:cs="Times New Roman"/>
          <w:sz w:val="20"/>
          <w:szCs w:val="20"/>
        </w:rPr>
        <w:t xml:space="preserve">0,2,0) model, </w:t>
      </w: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t</m:t>
            </m:r>
          </m:sub>
        </m:sSub>
        <m:r>
          <w:rPr>
            <w:rFonts w:ascii="Cambria Math" w:hAnsi="Cambria Math" w:cs="Times New Roman"/>
            <w:sz w:val="20"/>
            <w:szCs w:val="20"/>
          </w:rPr>
          <m:t>.</m:t>
        </m:r>
      </m:oMath>
      <w:r w:rsidR="006C389C">
        <w:rPr>
          <w:rFonts w:ascii="Times New Roman" w:eastAsiaTheme="minorEastAsia" w:hAnsi="Times New Roman" w:cs="Times New Roman"/>
          <w:sz w:val="20"/>
          <w:szCs w:val="20"/>
        </w:rPr>
        <w:t xml:space="preserve">  (Of course, this suggests the AR(2) model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Y</m:t>
            </m:r>
          </m:e>
          <m:sub>
            <m:r>
              <w:rPr>
                <w:rFonts w:ascii="Cambria Math" w:eastAsiaTheme="minorEastAsia" w:hAnsi="Cambria Math" w:cs="Times New Roman"/>
                <w:sz w:val="20"/>
                <w:szCs w:val="20"/>
              </w:rPr>
              <m:t>t</m:t>
            </m:r>
          </m:sub>
        </m:sSub>
        <m:r>
          <w:rPr>
            <w:rFonts w:ascii="Cambria Math" w:eastAsiaTheme="minorEastAsia" w:hAnsi="Cambria Math" w:cs="Times New Roman"/>
            <w:sz w:val="20"/>
            <w:szCs w:val="20"/>
          </w:rPr>
          <m:t>=2</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Y</m:t>
            </m:r>
          </m:e>
          <m:sub>
            <m:r>
              <w:rPr>
                <w:rFonts w:ascii="Cambria Math" w:eastAsiaTheme="minorEastAsia" w:hAnsi="Cambria Math" w:cs="Times New Roman"/>
                <w:sz w:val="20"/>
                <w:szCs w:val="20"/>
              </w:rPr>
              <m:t>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t</m:t>
            </m:r>
          </m:sub>
        </m:sSub>
        <m:r>
          <w:rPr>
            <w:rFonts w:ascii="Cambria Math" w:eastAsiaTheme="minorEastAsia" w:hAnsi="Cambria Math" w:cs="Times New Roman"/>
            <w:sz w:val="20"/>
            <w:szCs w:val="20"/>
          </w:rPr>
          <m:t>.)</m:t>
        </m:r>
      </m:oMath>
    </w:p>
    <w:sectPr w:rsidR="00A15699" w:rsidRPr="00C67C13" w:rsidSect="0015005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087D5C"/>
    <w:multiLevelType w:val="hybridMultilevel"/>
    <w:tmpl w:val="184EEE5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B3C"/>
    <w:rsid w:val="00004785"/>
    <w:rsid w:val="000462FF"/>
    <w:rsid w:val="00067A2F"/>
    <w:rsid w:val="0007041D"/>
    <w:rsid w:val="00074356"/>
    <w:rsid w:val="000772C1"/>
    <w:rsid w:val="00081561"/>
    <w:rsid w:val="000B6FE4"/>
    <w:rsid w:val="000D2BA7"/>
    <w:rsid w:val="000E7C02"/>
    <w:rsid w:val="00117752"/>
    <w:rsid w:val="00133F82"/>
    <w:rsid w:val="00136C6D"/>
    <w:rsid w:val="00150053"/>
    <w:rsid w:val="00186CE0"/>
    <w:rsid w:val="001A31E2"/>
    <w:rsid w:val="001B2902"/>
    <w:rsid w:val="001C2A35"/>
    <w:rsid w:val="001D2D30"/>
    <w:rsid w:val="00217823"/>
    <w:rsid w:val="0023745D"/>
    <w:rsid w:val="00244B9B"/>
    <w:rsid w:val="002628B1"/>
    <w:rsid w:val="002638D7"/>
    <w:rsid w:val="00271AF4"/>
    <w:rsid w:val="002808AD"/>
    <w:rsid w:val="00280A20"/>
    <w:rsid w:val="00287B02"/>
    <w:rsid w:val="0029354E"/>
    <w:rsid w:val="002A30EA"/>
    <w:rsid w:val="002C7CC2"/>
    <w:rsid w:val="002C7FE1"/>
    <w:rsid w:val="002D2745"/>
    <w:rsid w:val="002E51E2"/>
    <w:rsid w:val="002F5B2E"/>
    <w:rsid w:val="0031021D"/>
    <w:rsid w:val="003152A4"/>
    <w:rsid w:val="00337EAF"/>
    <w:rsid w:val="00350771"/>
    <w:rsid w:val="00372E00"/>
    <w:rsid w:val="003A19E7"/>
    <w:rsid w:val="003A6E11"/>
    <w:rsid w:val="003C2137"/>
    <w:rsid w:val="003D62D3"/>
    <w:rsid w:val="003E3379"/>
    <w:rsid w:val="00417207"/>
    <w:rsid w:val="004546F4"/>
    <w:rsid w:val="00476584"/>
    <w:rsid w:val="00490BF4"/>
    <w:rsid w:val="00494F0B"/>
    <w:rsid w:val="004A20BC"/>
    <w:rsid w:val="004A474B"/>
    <w:rsid w:val="004B0B0E"/>
    <w:rsid w:val="004B15F1"/>
    <w:rsid w:val="004B26EB"/>
    <w:rsid w:val="004B5297"/>
    <w:rsid w:val="004C7143"/>
    <w:rsid w:val="004D5CCE"/>
    <w:rsid w:val="004E56CF"/>
    <w:rsid w:val="0050160E"/>
    <w:rsid w:val="005069DC"/>
    <w:rsid w:val="00526352"/>
    <w:rsid w:val="005277E5"/>
    <w:rsid w:val="005447A7"/>
    <w:rsid w:val="00583B28"/>
    <w:rsid w:val="00594753"/>
    <w:rsid w:val="005B1CF9"/>
    <w:rsid w:val="005B58FC"/>
    <w:rsid w:val="005C160D"/>
    <w:rsid w:val="005E0264"/>
    <w:rsid w:val="005E3EFD"/>
    <w:rsid w:val="00600BA5"/>
    <w:rsid w:val="00600F1A"/>
    <w:rsid w:val="006034B7"/>
    <w:rsid w:val="00617FE3"/>
    <w:rsid w:val="00623B03"/>
    <w:rsid w:val="00633785"/>
    <w:rsid w:val="006349CD"/>
    <w:rsid w:val="00640A4D"/>
    <w:rsid w:val="006529D0"/>
    <w:rsid w:val="00672568"/>
    <w:rsid w:val="0069473F"/>
    <w:rsid w:val="006B5A34"/>
    <w:rsid w:val="006B6122"/>
    <w:rsid w:val="006C389C"/>
    <w:rsid w:val="006E0FB7"/>
    <w:rsid w:val="006E111F"/>
    <w:rsid w:val="00705500"/>
    <w:rsid w:val="0072243F"/>
    <w:rsid w:val="0073494B"/>
    <w:rsid w:val="007452B5"/>
    <w:rsid w:val="007512E0"/>
    <w:rsid w:val="007531A3"/>
    <w:rsid w:val="007563F2"/>
    <w:rsid w:val="00760067"/>
    <w:rsid w:val="00770249"/>
    <w:rsid w:val="007738FE"/>
    <w:rsid w:val="0077799A"/>
    <w:rsid w:val="007B6EB8"/>
    <w:rsid w:val="007D50B7"/>
    <w:rsid w:val="007D57BE"/>
    <w:rsid w:val="007E5163"/>
    <w:rsid w:val="007F61A3"/>
    <w:rsid w:val="0080446F"/>
    <w:rsid w:val="00820E00"/>
    <w:rsid w:val="00821B4E"/>
    <w:rsid w:val="008353E9"/>
    <w:rsid w:val="00841B39"/>
    <w:rsid w:val="00845CB9"/>
    <w:rsid w:val="008536C0"/>
    <w:rsid w:val="00854D82"/>
    <w:rsid w:val="008A1201"/>
    <w:rsid w:val="008E17B8"/>
    <w:rsid w:val="008E195E"/>
    <w:rsid w:val="008F5BFE"/>
    <w:rsid w:val="0090362B"/>
    <w:rsid w:val="009853EF"/>
    <w:rsid w:val="009859B5"/>
    <w:rsid w:val="00993AB4"/>
    <w:rsid w:val="009966D6"/>
    <w:rsid w:val="009A738E"/>
    <w:rsid w:val="009B0FA8"/>
    <w:rsid w:val="009B5EFB"/>
    <w:rsid w:val="009B6074"/>
    <w:rsid w:val="009D047F"/>
    <w:rsid w:val="009E2A70"/>
    <w:rsid w:val="00A15699"/>
    <w:rsid w:val="00A21137"/>
    <w:rsid w:val="00A63B89"/>
    <w:rsid w:val="00A9450F"/>
    <w:rsid w:val="00A96168"/>
    <w:rsid w:val="00AB3517"/>
    <w:rsid w:val="00B27C13"/>
    <w:rsid w:val="00B30082"/>
    <w:rsid w:val="00B30BC7"/>
    <w:rsid w:val="00B330B3"/>
    <w:rsid w:val="00B4160D"/>
    <w:rsid w:val="00B43C6E"/>
    <w:rsid w:val="00B4687F"/>
    <w:rsid w:val="00B67E67"/>
    <w:rsid w:val="00B71F4E"/>
    <w:rsid w:val="00B8632D"/>
    <w:rsid w:val="00B97288"/>
    <w:rsid w:val="00BA1DA9"/>
    <w:rsid w:val="00BA3C3D"/>
    <w:rsid w:val="00BB3B95"/>
    <w:rsid w:val="00BB7609"/>
    <w:rsid w:val="00BC7ABB"/>
    <w:rsid w:val="00BD2FF5"/>
    <w:rsid w:val="00BD58C5"/>
    <w:rsid w:val="00BD5CA4"/>
    <w:rsid w:val="00C00ED9"/>
    <w:rsid w:val="00C213B6"/>
    <w:rsid w:val="00C32F5D"/>
    <w:rsid w:val="00C3485D"/>
    <w:rsid w:val="00C506A3"/>
    <w:rsid w:val="00C55787"/>
    <w:rsid w:val="00C67C13"/>
    <w:rsid w:val="00C7486E"/>
    <w:rsid w:val="00C8013B"/>
    <w:rsid w:val="00C8555C"/>
    <w:rsid w:val="00C90D60"/>
    <w:rsid w:val="00C947D0"/>
    <w:rsid w:val="00CD0259"/>
    <w:rsid w:val="00CD1BD2"/>
    <w:rsid w:val="00D01B3C"/>
    <w:rsid w:val="00D239CC"/>
    <w:rsid w:val="00D242B6"/>
    <w:rsid w:val="00D25486"/>
    <w:rsid w:val="00D32701"/>
    <w:rsid w:val="00D416F0"/>
    <w:rsid w:val="00D679CB"/>
    <w:rsid w:val="00D80C65"/>
    <w:rsid w:val="00D92541"/>
    <w:rsid w:val="00DA20E0"/>
    <w:rsid w:val="00DB7D1B"/>
    <w:rsid w:val="00DF4AB4"/>
    <w:rsid w:val="00E008FE"/>
    <w:rsid w:val="00E0476D"/>
    <w:rsid w:val="00E049CA"/>
    <w:rsid w:val="00E15224"/>
    <w:rsid w:val="00E22704"/>
    <w:rsid w:val="00E2531D"/>
    <w:rsid w:val="00E51107"/>
    <w:rsid w:val="00E60EDD"/>
    <w:rsid w:val="00E623A7"/>
    <w:rsid w:val="00E92795"/>
    <w:rsid w:val="00EA69AE"/>
    <w:rsid w:val="00EE788D"/>
    <w:rsid w:val="00F140C6"/>
    <w:rsid w:val="00F22BA8"/>
    <w:rsid w:val="00F55C80"/>
    <w:rsid w:val="00F65961"/>
    <w:rsid w:val="00F81926"/>
    <w:rsid w:val="00F82901"/>
    <w:rsid w:val="00F9154C"/>
    <w:rsid w:val="00F96253"/>
    <w:rsid w:val="00FA34D0"/>
    <w:rsid w:val="00FB34E1"/>
    <w:rsid w:val="00FC017D"/>
    <w:rsid w:val="00FC1801"/>
    <w:rsid w:val="00FD0D22"/>
    <w:rsid w:val="00FE3E54"/>
    <w:rsid w:val="00FF38B6"/>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150375-FB64-4764-A98F-0F8B36119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7A2F"/>
    <w:rPr>
      <w:color w:val="0000FF" w:themeColor="hyperlink"/>
      <w:u w:val="single"/>
    </w:rPr>
  </w:style>
  <w:style w:type="paragraph" w:styleId="BalloonText">
    <w:name w:val="Balloon Text"/>
    <w:basedOn w:val="Normal"/>
    <w:link w:val="BalloonTextChar"/>
    <w:uiPriority w:val="99"/>
    <w:semiHidden/>
    <w:unhideWhenUsed/>
    <w:rsid w:val="00BA1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DA9"/>
    <w:rPr>
      <w:rFonts w:ascii="Tahoma" w:hAnsi="Tahoma" w:cs="Tahoma"/>
      <w:sz w:val="16"/>
      <w:szCs w:val="16"/>
    </w:rPr>
  </w:style>
  <w:style w:type="character" w:styleId="PlaceholderText">
    <w:name w:val="Placeholder Text"/>
    <w:basedOn w:val="DefaultParagraphFont"/>
    <w:uiPriority w:val="99"/>
    <w:semiHidden/>
    <w:rsid w:val="00B330B3"/>
    <w:rPr>
      <w:color w:val="808080"/>
    </w:rPr>
  </w:style>
  <w:style w:type="paragraph" w:styleId="ListParagraph">
    <w:name w:val="List Paragraph"/>
    <w:basedOn w:val="Normal"/>
    <w:uiPriority w:val="34"/>
    <w:qFormat/>
    <w:rsid w:val="005B5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118">
      <w:bodyDiv w:val="1"/>
      <w:marLeft w:val="0"/>
      <w:marRight w:val="0"/>
      <w:marTop w:val="0"/>
      <w:marBottom w:val="0"/>
      <w:divBdr>
        <w:top w:val="none" w:sz="0" w:space="0" w:color="auto"/>
        <w:left w:val="none" w:sz="0" w:space="0" w:color="auto"/>
        <w:bottom w:val="none" w:sz="0" w:space="0" w:color="auto"/>
        <w:right w:val="none" w:sz="0" w:space="0" w:color="auto"/>
      </w:divBdr>
    </w:div>
    <w:div w:id="204295498">
      <w:bodyDiv w:val="1"/>
      <w:marLeft w:val="0"/>
      <w:marRight w:val="0"/>
      <w:marTop w:val="0"/>
      <w:marBottom w:val="0"/>
      <w:divBdr>
        <w:top w:val="none" w:sz="0" w:space="0" w:color="auto"/>
        <w:left w:val="none" w:sz="0" w:space="0" w:color="auto"/>
        <w:bottom w:val="none" w:sz="0" w:space="0" w:color="auto"/>
        <w:right w:val="none" w:sz="0" w:space="0" w:color="auto"/>
      </w:divBdr>
    </w:div>
    <w:div w:id="329062464">
      <w:bodyDiv w:val="1"/>
      <w:marLeft w:val="0"/>
      <w:marRight w:val="0"/>
      <w:marTop w:val="0"/>
      <w:marBottom w:val="0"/>
      <w:divBdr>
        <w:top w:val="none" w:sz="0" w:space="0" w:color="auto"/>
        <w:left w:val="none" w:sz="0" w:space="0" w:color="auto"/>
        <w:bottom w:val="none" w:sz="0" w:space="0" w:color="auto"/>
        <w:right w:val="none" w:sz="0" w:space="0" w:color="auto"/>
      </w:divBdr>
    </w:div>
    <w:div w:id="331110518">
      <w:bodyDiv w:val="1"/>
      <w:marLeft w:val="0"/>
      <w:marRight w:val="0"/>
      <w:marTop w:val="0"/>
      <w:marBottom w:val="0"/>
      <w:divBdr>
        <w:top w:val="none" w:sz="0" w:space="0" w:color="auto"/>
        <w:left w:val="none" w:sz="0" w:space="0" w:color="auto"/>
        <w:bottom w:val="none" w:sz="0" w:space="0" w:color="auto"/>
        <w:right w:val="none" w:sz="0" w:space="0" w:color="auto"/>
      </w:divBdr>
    </w:div>
    <w:div w:id="491797194">
      <w:bodyDiv w:val="1"/>
      <w:marLeft w:val="0"/>
      <w:marRight w:val="0"/>
      <w:marTop w:val="0"/>
      <w:marBottom w:val="0"/>
      <w:divBdr>
        <w:top w:val="none" w:sz="0" w:space="0" w:color="auto"/>
        <w:left w:val="none" w:sz="0" w:space="0" w:color="auto"/>
        <w:bottom w:val="none" w:sz="0" w:space="0" w:color="auto"/>
        <w:right w:val="none" w:sz="0" w:space="0" w:color="auto"/>
      </w:divBdr>
    </w:div>
    <w:div w:id="720252831">
      <w:bodyDiv w:val="1"/>
      <w:marLeft w:val="0"/>
      <w:marRight w:val="0"/>
      <w:marTop w:val="0"/>
      <w:marBottom w:val="0"/>
      <w:divBdr>
        <w:top w:val="none" w:sz="0" w:space="0" w:color="auto"/>
        <w:left w:val="none" w:sz="0" w:space="0" w:color="auto"/>
        <w:bottom w:val="none" w:sz="0" w:space="0" w:color="auto"/>
        <w:right w:val="none" w:sz="0" w:space="0" w:color="auto"/>
      </w:divBdr>
    </w:div>
    <w:div w:id="941456783">
      <w:bodyDiv w:val="1"/>
      <w:marLeft w:val="0"/>
      <w:marRight w:val="0"/>
      <w:marTop w:val="0"/>
      <w:marBottom w:val="0"/>
      <w:divBdr>
        <w:top w:val="none" w:sz="0" w:space="0" w:color="auto"/>
        <w:left w:val="none" w:sz="0" w:space="0" w:color="auto"/>
        <w:bottom w:val="none" w:sz="0" w:space="0" w:color="auto"/>
        <w:right w:val="none" w:sz="0" w:space="0" w:color="auto"/>
      </w:divBdr>
    </w:div>
    <w:div w:id="1057585488">
      <w:bodyDiv w:val="1"/>
      <w:marLeft w:val="0"/>
      <w:marRight w:val="0"/>
      <w:marTop w:val="0"/>
      <w:marBottom w:val="0"/>
      <w:divBdr>
        <w:top w:val="none" w:sz="0" w:space="0" w:color="auto"/>
        <w:left w:val="none" w:sz="0" w:space="0" w:color="auto"/>
        <w:bottom w:val="none" w:sz="0" w:space="0" w:color="auto"/>
        <w:right w:val="none" w:sz="0" w:space="0" w:color="auto"/>
      </w:divBdr>
    </w:div>
    <w:div w:id="1113595630">
      <w:bodyDiv w:val="1"/>
      <w:marLeft w:val="0"/>
      <w:marRight w:val="0"/>
      <w:marTop w:val="0"/>
      <w:marBottom w:val="0"/>
      <w:divBdr>
        <w:top w:val="none" w:sz="0" w:space="0" w:color="auto"/>
        <w:left w:val="none" w:sz="0" w:space="0" w:color="auto"/>
        <w:bottom w:val="none" w:sz="0" w:space="0" w:color="auto"/>
        <w:right w:val="none" w:sz="0" w:space="0" w:color="auto"/>
      </w:divBdr>
    </w:div>
    <w:div w:id="1138299776">
      <w:bodyDiv w:val="1"/>
      <w:marLeft w:val="0"/>
      <w:marRight w:val="0"/>
      <w:marTop w:val="0"/>
      <w:marBottom w:val="0"/>
      <w:divBdr>
        <w:top w:val="none" w:sz="0" w:space="0" w:color="auto"/>
        <w:left w:val="none" w:sz="0" w:space="0" w:color="auto"/>
        <w:bottom w:val="none" w:sz="0" w:space="0" w:color="auto"/>
        <w:right w:val="none" w:sz="0" w:space="0" w:color="auto"/>
      </w:divBdr>
    </w:div>
    <w:div w:id="1230724827">
      <w:bodyDiv w:val="1"/>
      <w:marLeft w:val="0"/>
      <w:marRight w:val="0"/>
      <w:marTop w:val="0"/>
      <w:marBottom w:val="0"/>
      <w:divBdr>
        <w:top w:val="none" w:sz="0" w:space="0" w:color="auto"/>
        <w:left w:val="none" w:sz="0" w:space="0" w:color="auto"/>
        <w:bottom w:val="none" w:sz="0" w:space="0" w:color="auto"/>
        <w:right w:val="none" w:sz="0" w:space="0" w:color="auto"/>
      </w:divBdr>
    </w:div>
    <w:div w:id="1411462020">
      <w:bodyDiv w:val="1"/>
      <w:marLeft w:val="0"/>
      <w:marRight w:val="0"/>
      <w:marTop w:val="0"/>
      <w:marBottom w:val="0"/>
      <w:divBdr>
        <w:top w:val="none" w:sz="0" w:space="0" w:color="auto"/>
        <w:left w:val="none" w:sz="0" w:space="0" w:color="auto"/>
        <w:bottom w:val="none" w:sz="0" w:space="0" w:color="auto"/>
        <w:right w:val="none" w:sz="0" w:space="0" w:color="auto"/>
      </w:divBdr>
    </w:div>
    <w:div w:id="1420908661">
      <w:bodyDiv w:val="1"/>
      <w:marLeft w:val="0"/>
      <w:marRight w:val="0"/>
      <w:marTop w:val="0"/>
      <w:marBottom w:val="0"/>
      <w:divBdr>
        <w:top w:val="none" w:sz="0" w:space="0" w:color="auto"/>
        <w:left w:val="none" w:sz="0" w:space="0" w:color="auto"/>
        <w:bottom w:val="none" w:sz="0" w:space="0" w:color="auto"/>
        <w:right w:val="none" w:sz="0" w:space="0" w:color="auto"/>
      </w:divBdr>
    </w:div>
    <w:div w:id="1438866089">
      <w:bodyDiv w:val="1"/>
      <w:marLeft w:val="0"/>
      <w:marRight w:val="0"/>
      <w:marTop w:val="0"/>
      <w:marBottom w:val="0"/>
      <w:divBdr>
        <w:top w:val="none" w:sz="0" w:space="0" w:color="auto"/>
        <w:left w:val="none" w:sz="0" w:space="0" w:color="auto"/>
        <w:bottom w:val="none" w:sz="0" w:space="0" w:color="auto"/>
        <w:right w:val="none" w:sz="0" w:space="0" w:color="auto"/>
      </w:divBdr>
    </w:div>
    <w:div w:id="1507789098">
      <w:bodyDiv w:val="1"/>
      <w:marLeft w:val="0"/>
      <w:marRight w:val="0"/>
      <w:marTop w:val="0"/>
      <w:marBottom w:val="0"/>
      <w:divBdr>
        <w:top w:val="none" w:sz="0" w:space="0" w:color="auto"/>
        <w:left w:val="none" w:sz="0" w:space="0" w:color="auto"/>
        <w:bottom w:val="none" w:sz="0" w:space="0" w:color="auto"/>
        <w:right w:val="none" w:sz="0" w:space="0" w:color="auto"/>
      </w:divBdr>
    </w:div>
    <w:div w:id="1694041099">
      <w:bodyDiv w:val="1"/>
      <w:marLeft w:val="0"/>
      <w:marRight w:val="0"/>
      <w:marTop w:val="0"/>
      <w:marBottom w:val="0"/>
      <w:divBdr>
        <w:top w:val="none" w:sz="0" w:space="0" w:color="auto"/>
        <w:left w:val="none" w:sz="0" w:space="0" w:color="auto"/>
        <w:bottom w:val="none" w:sz="0" w:space="0" w:color="auto"/>
        <w:right w:val="none" w:sz="0" w:space="0" w:color="auto"/>
      </w:divBdr>
    </w:div>
    <w:div w:id="1717385317">
      <w:bodyDiv w:val="1"/>
      <w:marLeft w:val="0"/>
      <w:marRight w:val="0"/>
      <w:marTop w:val="0"/>
      <w:marBottom w:val="0"/>
      <w:divBdr>
        <w:top w:val="none" w:sz="0" w:space="0" w:color="auto"/>
        <w:left w:val="none" w:sz="0" w:space="0" w:color="auto"/>
        <w:bottom w:val="none" w:sz="0" w:space="0" w:color="auto"/>
        <w:right w:val="none" w:sz="0" w:space="0" w:color="auto"/>
      </w:divBdr>
    </w:div>
    <w:div w:id="202559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hyperlink" Target="https://ratings.fide.com" TargetMode="External"/><Relationship Id="rId15" Type="http://schemas.openxmlformats.org/officeDocument/2006/relationships/fontTable" Target="fontTable.xml"/><Relationship Id="rId1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ob.fisette\Desktop\VEE%20Projects\Time%20Series\Time%20Series%20Project%20-%20Fisette.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v>Rating</c:v>
          </c:tx>
          <c:marker>
            <c:symbol val="none"/>
          </c:marker>
          <c:cat>
            <c:numRef>
              <c:f>'Carlsen Rating'!$D$2:$D$18</c:f>
              <c:numCache>
                <c:formatCode>m/d/yyyy</c:formatCode>
                <c:ptCount val="17"/>
                <c:pt idx="0">
                  <c:v>41091</c:v>
                </c:pt>
                <c:pt idx="1">
                  <c:v>41183</c:v>
                </c:pt>
                <c:pt idx="2">
                  <c:v>41275</c:v>
                </c:pt>
                <c:pt idx="3">
                  <c:v>41365</c:v>
                </c:pt>
                <c:pt idx="4">
                  <c:v>41456</c:v>
                </c:pt>
                <c:pt idx="5">
                  <c:v>41548</c:v>
                </c:pt>
                <c:pt idx="6">
                  <c:v>41640</c:v>
                </c:pt>
                <c:pt idx="7">
                  <c:v>41730</c:v>
                </c:pt>
                <c:pt idx="8">
                  <c:v>41821</c:v>
                </c:pt>
                <c:pt idx="9">
                  <c:v>41913</c:v>
                </c:pt>
                <c:pt idx="10">
                  <c:v>42005</c:v>
                </c:pt>
                <c:pt idx="11">
                  <c:v>42095</c:v>
                </c:pt>
                <c:pt idx="12">
                  <c:v>42186</c:v>
                </c:pt>
                <c:pt idx="13">
                  <c:v>42278</c:v>
                </c:pt>
                <c:pt idx="14">
                  <c:v>42370</c:v>
                </c:pt>
                <c:pt idx="15">
                  <c:v>42461</c:v>
                </c:pt>
                <c:pt idx="16">
                  <c:v>42552</c:v>
                </c:pt>
              </c:numCache>
            </c:numRef>
          </c:cat>
          <c:val>
            <c:numRef>
              <c:f>'Carlsen Rating'!$E$2:$E$18</c:f>
              <c:numCache>
                <c:formatCode>0</c:formatCode>
                <c:ptCount val="17"/>
                <c:pt idx="0">
                  <c:v>2837</c:v>
                </c:pt>
                <c:pt idx="1">
                  <c:v>2843</c:v>
                </c:pt>
                <c:pt idx="2">
                  <c:v>2861</c:v>
                </c:pt>
                <c:pt idx="3">
                  <c:v>2872</c:v>
                </c:pt>
                <c:pt idx="4">
                  <c:v>2862</c:v>
                </c:pt>
                <c:pt idx="5">
                  <c:v>2870</c:v>
                </c:pt>
                <c:pt idx="6">
                  <c:v>2872</c:v>
                </c:pt>
                <c:pt idx="7">
                  <c:v>2881</c:v>
                </c:pt>
                <c:pt idx="8">
                  <c:v>2877</c:v>
                </c:pt>
                <c:pt idx="9">
                  <c:v>2863</c:v>
                </c:pt>
                <c:pt idx="10">
                  <c:v>2862</c:v>
                </c:pt>
                <c:pt idx="11">
                  <c:v>2863</c:v>
                </c:pt>
                <c:pt idx="12">
                  <c:v>2853</c:v>
                </c:pt>
                <c:pt idx="13">
                  <c:v>2850</c:v>
                </c:pt>
                <c:pt idx="14">
                  <c:v>2844</c:v>
                </c:pt>
                <c:pt idx="15">
                  <c:v>2851</c:v>
                </c:pt>
                <c:pt idx="16">
                  <c:v>2855</c:v>
                </c:pt>
              </c:numCache>
            </c:numRef>
          </c:val>
          <c:smooth val="0"/>
        </c:ser>
        <c:dLbls>
          <c:showLegendKey val="0"/>
          <c:showVal val="0"/>
          <c:showCatName val="0"/>
          <c:showSerName val="0"/>
          <c:showPercent val="0"/>
          <c:showBubbleSize val="0"/>
        </c:dLbls>
        <c:smooth val="0"/>
        <c:axId val="274374416"/>
        <c:axId val="296516752"/>
      </c:lineChart>
      <c:dateAx>
        <c:axId val="274374416"/>
        <c:scaling>
          <c:orientation val="minMax"/>
        </c:scaling>
        <c:delete val="0"/>
        <c:axPos val="b"/>
        <c:numFmt formatCode="m/d/yyyy" sourceLinked="1"/>
        <c:majorTickMark val="out"/>
        <c:minorTickMark val="none"/>
        <c:tickLblPos val="nextTo"/>
        <c:crossAx val="296516752"/>
        <c:crosses val="autoZero"/>
        <c:auto val="1"/>
        <c:lblOffset val="100"/>
        <c:baseTimeUnit val="months"/>
      </c:dateAx>
      <c:valAx>
        <c:axId val="296516752"/>
        <c:scaling>
          <c:orientation val="minMax"/>
        </c:scaling>
        <c:delete val="0"/>
        <c:axPos val="l"/>
        <c:majorGridlines/>
        <c:numFmt formatCode="0" sourceLinked="1"/>
        <c:majorTickMark val="out"/>
        <c:minorTickMark val="none"/>
        <c:tickLblPos val="nextTo"/>
        <c:crossAx val="274374416"/>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v>First Difference</c:v>
          </c:tx>
          <c:marker>
            <c:symbol val="none"/>
          </c:marker>
          <c:cat>
            <c:numRef>
              <c:f>'Carlsen Rating'!$D$3:$D$18</c:f>
              <c:numCache>
                <c:formatCode>m/d/yyyy</c:formatCode>
                <c:ptCount val="16"/>
                <c:pt idx="0">
                  <c:v>41183</c:v>
                </c:pt>
                <c:pt idx="1">
                  <c:v>41275</c:v>
                </c:pt>
                <c:pt idx="2">
                  <c:v>41365</c:v>
                </c:pt>
                <c:pt idx="3">
                  <c:v>41456</c:v>
                </c:pt>
                <c:pt idx="4">
                  <c:v>41548</c:v>
                </c:pt>
                <c:pt idx="5">
                  <c:v>41640</c:v>
                </c:pt>
                <c:pt idx="6">
                  <c:v>41730</c:v>
                </c:pt>
                <c:pt idx="7">
                  <c:v>41821</c:v>
                </c:pt>
                <c:pt idx="8">
                  <c:v>41913</c:v>
                </c:pt>
                <c:pt idx="9">
                  <c:v>42005</c:v>
                </c:pt>
                <c:pt idx="10">
                  <c:v>42095</c:v>
                </c:pt>
                <c:pt idx="11">
                  <c:v>42186</c:v>
                </c:pt>
                <c:pt idx="12">
                  <c:v>42278</c:v>
                </c:pt>
                <c:pt idx="13">
                  <c:v>42370</c:v>
                </c:pt>
                <c:pt idx="14">
                  <c:v>42461</c:v>
                </c:pt>
                <c:pt idx="15">
                  <c:v>42552</c:v>
                </c:pt>
              </c:numCache>
            </c:numRef>
          </c:cat>
          <c:val>
            <c:numRef>
              <c:f>'Carlsen Rating'!$F$3:$F$18</c:f>
              <c:numCache>
                <c:formatCode>0</c:formatCode>
                <c:ptCount val="16"/>
                <c:pt idx="0">
                  <c:v>6</c:v>
                </c:pt>
                <c:pt idx="1">
                  <c:v>18</c:v>
                </c:pt>
                <c:pt idx="2">
                  <c:v>11</c:v>
                </c:pt>
                <c:pt idx="3">
                  <c:v>-10</c:v>
                </c:pt>
                <c:pt idx="4">
                  <c:v>8</c:v>
                </c:pt>
                <c:pt idx="5">
                  <c:v>2</c:v>
                </c:pt>
                <c:pt idx="6">
                  <c:v>9</c:v>
                </c:pt>
                <c:pt idx="7">
                  <c:v>-4</c:v>
                </c:pt>
                <c:pt idx="8">
                  <c:v>-14</c:v>
                </c:pt>
                <c:pt idx="9">
                  <c:v>-1</c:v>
                </c:pt>
                <c:pt idx="10">
                  <c:v>1</c:v>
                </c:pt>
                <c:pt idx="11">
                  <c:v>-10</c:v>
                </c:pt>
                <c:pt idx="12">
                  <c:v>-3</c:v>
                </c:pt>
                <c:pt idx="13">
                  <c:v>-6</c:v>
                </c:pt>
                <c:pt idx="14">
                  <c:v>7</c:v>
                </c:pt>
                <c:pt idx="15">
                  <c:v>4</c:v>
                </c:pt>
              </c:numCache>
            </c:numRef>
          </c:val>
          <c:smooth val="0"/>
        </c:ser>
        <c:dLbls>
          <c:showLegendKey val="0"/>
          <c:showVal val="0"/>
          <c:showCatName val="0"/>
          <c:showSerName val="0"/>
          <c:showPercent val="0"/>
          <c:showBubbleSize val="0"/>
        </c:dLbls>
        <c:smooth val="0"/>
        <c:axId val="296518992"/>
        <c:axId val="296519552"/>
      </c:lineChart>
      <c:dateAx>
        <c:axId val="296518992"/>
        <c:scaling>
          <c:orientation val="minMax"/>
        </c:scaling>
        <c:delete val="0"/>
        <c:axPos val="b"/>
        <c:numFmt formatCode="m/d/yyyy" sourceLinked="1"/>
        <c:majorTickMark val="out"/>
        <c:minorTickMark val="none"/>
        <c:tickLblPos val="nextTo"/>
        <c:crossAx val="296519552"/>
        <c:crosses val="autoZero"/>
        <c:auto val="1"/>
        <c:lblOffset val="100"/>
        <c:baseTimeUnit val="months"/>
      </c:dateAx>
      <c:valAx>
        <c:axId val="296519552"/>
        <c:scaling>
          <c:orientation val="minMax"/>
        </c:scaling>
        <c:delete val="0"/>
        <c:axPos val="l"/>
        <c:majorGridlines/>
        <c:numFmt formatCode="0" sourceLinked="1"/>
        <c:majorTickMark val="out"/>
        <c:minorTickMark val="none"/>
        <c:tickLblPos val="nextTo"/>
        <c:crossAx val="296518992"/>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ndard"/>
        <c:varyColors val="0"/>
        <c:ser>
          <c:idx val="0"/>
          <c:order val="0"/>
          <c:tx>
            <c:v>Second Difference</c:v>
          </c:tx>
          <c:marker>
            <c:symbol val="none"/>
          </c:marker>
          <c:cat>
            <c:numRef>
              <c:f>'Carlsen Rating'!$D$4:$D$18</c:f>
              <c:numCache>
                <c:formatCode>m/d/yyyy</c:formatCode>
                <c:ptCount val="15"/>
                <c:pt idx="0">
                  <c:v>41275</c:v>
                </c:pt>
                <c:pt idx="1">
                  <c:v>41365</c:v>
                </c:pt>
                <c:pt idx="2">
                  <c:v>41456</c:v>
                </c:pt>
                <c:pt idx="3">
                  <c:v>41548</c:v>
                </c:pt>
                <c:pt idx="4">
                  <c:v>41640</c:v>
                </c:pt>
                <c:pt idx="5">
                  <c:v>41730</c:v>
                </c:pt>
                <c:pt idx="6">
                  <c:v>41821</c:v>
                </c:pt>
                <c:pt idx="7">
                  <c:v>41913</c:v>
                </c:pt>
                <c:pt idx="8">
                  <c:v>42005</c:v>
                </c:pt>
                <c:pt idx="9">
                  <c:v>42095</c:v>
                </c:pt>
                <c:pt idx="10">
                  <c:v>42186</c:v>
                </c:pt>
                <c:pt idx="11">
                  <c:v>42278</c:v>
                </c:pt>
                <c:pt idx="12">
                  <c:v>42370</c:v>
                </c:pt>
                <c:pt idx="13">
                  <c:v>42461</c:v>
                </c:pt>
                <c:pt idx="14">
                  <c:v>42552</c:v>
                </c:pt>
              </c:numCache>
            </c:numRef>
          </c:cat>
          <c:val>
            <c:numRef>
              <c:f>'Carlsen Rating'!$G$4:$G$18</c:f>
              <c:numCache>
                <c:formatCode>#,##0</c:formatCode>
                <c:ptCount val="15"/>
                <c:pt idx="0">
                  <c:v>12</c:v>
                </c:pt>
                <c:pt idx="1">
                  <c:v>-7</c:v>
                </c:pt>
                <c:pt idx="2">
                  <c:v>-21</c:v>
                </c:pt>
                <c:pt idx="3">
                  <c:v>18</c:v>
                </c:pt>
                <c:pt idx="4">
                  <c:v>-6</c:v>
                </c:pt>
                <c:pt idx="5">
                  <c:v>7</c:v>
                </c:pt>
                <c:pt idx="6">
                  <c:v>-13</c:v>
                </c:pt>
                <c:pt idx="7">
                  <c:v>-10</c:v>
                </c:pt>
                <c:pt idx="8">
                  <c:v>13</c:v>
                </c:pt>
                <c:pt idx="9">
                  <c:v>2</c:v>
                </c:pt>
                <c:pt idx="10">
                  <c:v>-11</c:v>
                </c:pt>
                <c:pt idx="11">
                  <c:v>7</c:v>
                </c:pt>
                <c:pt idx="12">
                  <c:v>-3</c:v>
                </c:pt>
                <c:pt idx="13">
                  <c:v>13</c:v>
                </c:pt>
                <c:pt idx="14">
                  <c:v>-3</c:v>
                </c:pt>
              </c:numCache>
            </c:numRef>
          </c:val>
          <c:smooth val="0"/>
        </c:ser>
        <c:dLbls>
          <c:showLegendKey val="0"/>
          <c:showVal val="0"/>
          <c:showCatName val="0"/>
          <c:showSerName val="0"/>
          <c:showPercent val="0"/>
          <c:showBubbleSize val="0"/>
        </c:dLbls>
        <c:smooth val="0"/>
        <c:axId val="296521792"/>
        <c:axId val="296522352"/>
      </c:lineChart>
      <c:dateAx>
        <c:axId val="296521792"/>
        <c:scaling>
          <c:orientation val="minMax"/>
        </c:scaling>
        <c:delete val="0"/>
        <c:axPos val="b"/>
        <c:numFmt formatCode="m/d/yyyy" sourceLinked="1"/>
        <c:majorTickMark val="out"/>
        <c:minorTickMark val="none"/>
        <c:tickLblPos val="nextTo"/>
        <c:crossAx val="296522352"/>
        <c:crosses val="autoZero"/>
        <c:auto val="1"/>
        <c:lblOffset val="100"/>
        <c:baseTimeUnit val="months"/>
      </c:dateAx>
      <c:valAx>
        <c:axId val="296522352"/>
        <c:scaling>
          <c:orientation val="minMax"/>
        </c:scaling>
        <c:delete val="0"/>
        <c:axPos val="l"/>
        <c:majorGridlines/>
        <c:numFmt formatCode="#,##0" sourceLinked="1"/>
        <c:majorTickMark val="out"/>
        <c:minorTickMark val="none"/>
        <c:tickLblPos val="nextTo"/>
        <c:crossAx val="296521792"/>
        <c:crosses val="autoZero"/>
        <c:crossBetween val="between"/>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lineMarker"/>
        <c:varyColors val="0"/>
        <c:ser>
          <c:idx val="0"/>
          <c:order val="0"/>
          <c:tx>
            <c:v>Residuals Over Time</c:v>
          </c:tx>
          <c:spPr>
            <a:ln w="19050">
              <a:noFill/>
            </a:ln>
          </c:spPr>
          <c:xVal>
            <c:numRef>
              <c:f>'Prediction Residuals - 2D0L'!$A$2:$A$16</c:f>
              <c:numCache>
                <c:formatCode>m/d/yyyy</c:formatCode>
                <c:ptCount val="15"/>
                <c:pt idx="0">
                  <c:v>41275</c:v>
                </c:pt>
                <c:pt idx="1">
                  <c:v>41365</c:v>
                </c:pt>
                <c:pt idx="2">
                  <c:v>41456</c:v>
                </c:pt>
                <c:pt idx="3">
                  <c:v>41548</c:v>
                </c:pt>
                <c:pt idx="4">
                  <c:v>41640</c:v>
                </c:pt>
                <c:pt idx="5">
                  <c:v>41730</c:v>
                </c:pt>
                <c:pt idx="6">
                  <c:v>41821</c:v>
                </c:pt>
                <c:pt idx="7">
                  <c:v>41913</c:v>
                </c:pt>
                <c:pt idx="8">
                  <c:v>42005</c:v>
                </c:pt>
                <c:pt idx="9">
                  <c:v>42095</c:v>
                </c:pt>
                <c:pt idx="10">
                  <c:v>42186</c:v>
                </c:pt>
                <c:pt idx="11">
                  <c:v>42278</c:v>
                </c:pt>
                <c:pt idx="12">
                  <c:v>42370</c:v>
                </c:pt>
                <c:pt idx="13">
                  <c:v>42461</c:v>
                </c:pt>
                <c:pt idx="14">
                  <c:v>42552</c:v>
                </c:pt>
              </c:numCache>
            </c:numRef>
          </c:xVal>
          <c:yVal>
            <c:numRef>
              <c:f>'Prediction Residuals - 2D0L'!$D$2:$D$16</c:f>
              <c:numCache>
                <c:formatCode>#,##0.00</c:formatCode>
                <c:ptCount val="15"/>
                <c:pt idx="0">
                  <c:v>-12</c:v>
                </c:pt>
                <c:pt idx="1">
                  <c:v>7</c:v>
                </c:pt>
                <c:pt idx="2">
                  <c:v>21</c:v>
                </c:pt>
                <c:pt idx="3">
                  <c:v>-18</c:v>
                </c:pt>
                <c:pt idx="4">
                  <c:v>6</c:v>
                </c:pt>
                <c:pt idx="5">
                  <c:v>-7</c:v>
                </c:pt>
                <c:pt idx="6">
                  <c:v>13</c:v>
                </c:pt>
                <c:pt idx="7">
                  <c:v>10</c:v>
                </c:pt>
                <c:pt idx="8">
                  <c:v>-13</c:v>
                </c:pt>
                <c:pt idx="9">
                  <c:v>-2</c:v>
                </c:pt>
                <c:pt idx="10">
                  <c:v>11</c:v>
                </c:pt>
                <c:pt idx="11">
                  <c:v>-7</c:v>
                </c:pt>
                <c:pt idx="12">
                  <c:v>3</c:v>
                </c:pt>
                <c:pt idx="13">
                  <c:v>-13</c:v>
                </c:pt>
                <c:pt idx="14">
                  <c:v>3</c:v>
                </c:pt>
              </c:numCache>
            </c:numRef>
          </c:yVal>
          <c:smooth val="0"/>
        </c:ser>
        <c:dLbls>
          <c:showLegendKey val="0"/>
          <c:showVal val="0"/>
          <c:showCatName val="0"/>
          <c:showSerName val="0"/>
          <c:showPercent val="0"/>
          <c:showBubbleSize val="0"/>
        </c:dLbls>
        <c:axId val="296463488"/>
        <c:axId val="296464048"/>
      </c:scatterChart>
      <c:valAx>
        <c:axId val="296463488"/>
        <c:scaling>
          <c:orientation val="minMax"/>
        </c:scaling>
        <c:delete val="1"/>
        <c:axPos val="b"/>
        <c:numFmt formatCode="m/d/yyyy" sourceLinked="1"/>
        <c:majorTickMark val="out"/>
        <c:minorTickMark val="none"/>
        <c:tickLblPos val="nextTo"/>
        <c:crossAx val="296464048"/>
        <c:crosses val="autoZero"/>
        <c:crossBetween val="midCat"/>
      </c:valAx>
      <c:valAx>
        <c:axId val="296464048"/>
        <c:scaling>
          <c:orientation val="minMax"/>
        </c:scaling>
        <c:delete val="0"/>
        <c:axPos val="l"/>
        <c:majorGridlines/>
        <c:numFmt formatCode="#,##0.00" sourceLinked="1"/>
        <c:majorTickMark val="out"/>
        <c:minorTickMark val="none"/>
        <c:tickLblPos val="nextTo"/>
        <c:crossAx val="296463488"/>
        <c:crosses val="autoZero"/>
        <c:crossBetween val="midCat"/>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Quantile Comparison</a:t>
            </a:r>
          </a:p>
        </c:rich>
      </c:tx>
      <c:overlay val="0"/>
    </c:title>
    <c:autoTitleDeleted val="0"/>
    <c:plotArea>
      <c:layout/>
      <c:scatterChart>
        <c:scatterStyle val="lineMarker"/>
        <c:varyColors val="0"/>
        <c:ser>
          <c:idx val="0"/>
          <c:order val="0"/>
          <c:tx>
            <c:v>(Residual, Normal)</c:v>
          </c:tx>
          <c:spPr>
            <a:ln w="19050">
              <a:noFill/>
            </a:ln>
          </c:spPr>
          <c:xVal>
            <c:numRef>
              <c:f>'Prediction Residuals - 2D0L'!$T$3:$T$17</c:f>
              <c:numCache>
                <c:formatCode>#,##0.00</c:formatCode>
                <c:ptCount val="15"/>
                <c:pt idx="0">
                  <c:v>-1.5693620585088179</c:v>
                </c:pt>
                <c:pt idx="1">
                  <c:v>-1.1334281533674795</c:v>
                </c:pt>
                <c:pt idx="2">
                  <c:v>-1.1334281533674795</c:v>
                </c:pt>
                <c:pt idx="3">
                  <c:v>-1.0462413723392119</c:v>
                </c:pt>
                <c:pt idx="4">
                  <c:v>-0.61030746719787365</c:v>
                </c:pt>
                <c:pt idx="5">
                  <c:v>-0.61030746719787365</c:v>
                </c:pt>
                <c:pt idx="6">
                  <c:v>-0.17437356205653531</c:v>
                </c:pt>
                <c:pt idx="7">
                  <c:v>0.26156034308480297</c:v>
                </c:pt>
                <c:pt idx="8">
                  <c:v>0.26156034308480297</c:v>
                </c:pt>
                <c:pt idx="9">
                  <c:v>0.52312068616960594</c:v>
                </c:pt>
                <c:pt idx="10">
                  <c:v>0.61030746719787365</c:v>
                </c:pt>
                <c:pt idx="11">
                  <c:v>0.87186781028267657</c:v>
                </c:pt>
                <c:pt idx="12">
                  <c:v>0.95905459131094428</c:v>
                </c:pt>
                <c:pt idx="13">
                  <c:v>1.1334281533674795</c:v>
                </c:pt>
                <c:pt idx="14">
                  <c:v>1.8309224015936207</c:v>
                </c:pt>
              </c:numCache>
            </c:numRef>
          </c:xVal>
          <c:yVal>
            <c:numRef>
              <c:f>'Prediction Residuals - 2D0L'!$W$3:$W$17</c:f>
              <c:numCache>
                <c:formatCode>#,##0.00</c:formatCode>
                <c:ptCount val="15"/>
                <c:pt idx="0">
                  <c:v>-1.8339146358159142</c:v>
                </c:pt>
                <c:pt idx="1">
                  <c:v>-1.2815515655446006</c:v>
                </c:pt>
                <c:pt idx="2">
                  <c:v>-0.96742156610170071</c:v>
                </c:pt>
                <c:pt idx="3">
                  <c:v>-0.72791329088164469</c:v>
                </c:pt>
                <c:pt idx="4">
                  <c:v>-0.52440051270804089</c:v>
                </c:pt>
                <c:pt idx="5">
                  <c:v>-0.34069482708779553</c:v>
                </c:pt>
                <c:pt idx="6">
                  <c:v>-0.16789400478810546</c:v>
                </c:pt>
                <c:pt idx="7">
                  <c:v>0</c:v>
                </c:pt>
                <c:pt idx="8">
                  <c:v>0.16789400478810546</c:v>
                </c:pt>
                <c:pt idx="9">
                  <c:v>0.34069482708779542</c:v>
                </c:pt>
                <c:pt idx="10">
                  <c:v>0.52440051270804078</c:v>
                </c:pt>
                <c:pt idx="11">
                  <c:v>0.72791329088164458</c:v>
                </c:pt>
                <c:pt idx="12">
                  <c:v>0.96742156610170071</c:v>
                </c:pt>
                <c:pt idx="13">
                  <c:v>1.2815515655446006</c:v>
                </c:pt>
                <c:pt idx="14">
                  <c:v>1.8339146358159142</c:v>
                </c:pt>
              </c:numCache>
            </c:numRef>
          </c:yVal>
          <c:smooth val="0"/>
        </c:ser>
        <c:ser>
          <c:idx val="1"/>
          <c:order val="1"/>
          <c:tx>
            <c:v>Y=X</c:v>
          </c:tx>
          <c:spPr>
            <a:ln w="19050">
              <a:noFill/>
            </a:ln>
          </c:spPr>
          <c:trendline>
            <c:trendlineType val="linear"/>
            <c:dispRSqr val="0"/>
            <c:dispEq val="0"/>
          </c:trendline>
          <c:xVal>
            <c:numRef>
              <c:f>'Prediction Residuals - 2D0L'!$W$3:$W$17</c:f>
              <c:numCache>
                <c:formatCode>#,##0.00</c:formatCode>
                <c:ptCount val="15"/>
                <c:pt idx="0">
                  <c:v>-1.8339146358159142</c:v>
                </c:pt>
                <c:pt idx="1">
                  <c:v>-1.2815515655446006</c:v>
                </c:pt>
                <c:pt idx="2">
                  <c:v>-0.96742156610170071</c:v>
                </c:pt>
                <c:pt idx="3">
                  <c:v>-0.72791329088164469</c:v>
                </c:pt>
                <c:pt idx="4">
                  <c:v>-0.52440051270804089</c:v>
                </c:pt>
                <c:pt idx="5">
                  <c:v>-0.34069482708779553</c:v>
                </c:pt>
                <c:pt idx="6">
                  <c:v>-0.16789400478810546</c:v>
                </c:pt>
                <c:pt idx="7">
                  <c:v>0</c:v>
                </c:pt>
                <c:pt idx="8">
                  <c:v>0.16789400478810546</c:v>
                </c:pt>
                <c:pt idx="9">
                  <c:v>0.34069482708779542</c:v>
                </c:pt>
                <c:pt idx="10">
                  <c:v>0.52440051270804078</c:v>
                </c:pt>
                <c:pt idx="11">
                  <c:v>0.72791329088164458</c:v>
                </c:pt>
                <c:pt idx="12">
                  <c:v>0.96742156610170071</c:v>
                </c:pt>
                <c:pt idx="13">
                  <c:v>1.2815515655446006</c:v>
                </c:pt>
                <c:pt idx="14">
                  <c:v>1.8339146358159142</c:v>
                </c:pt>
              </c:numCache>
            </c:numRef>
          </c:xVal>
          <c:yVal>
            <c:numRef>
              <c:f>'Prediction Residuals - 2D0L'!$W$3:$W$17</c:f>
              <c:numCache>
                <c:formatCode>#,##0.00</c:formatCode>
                <c:ptCount val="15"/>
                <c:pt idx="0">
                  <c:v>-1.8339146358159142</c:v>
                </c:pt>
                <c:pt idx="1">
                  <c:v>-1.2815515655446006</c:v>
                </c:pt>
                <c:pt idx="2">
                  <c:v>-0.96742156610170071</c:v>
                </c:pt>
                <c:pt idx="3">
                  <c:v>-0.72791329088164469</c:v>
                </c:pt>
                <c:pt idx="4">
                  <c:v>-0.52440051270804089</c:v>
                </c:pt>
                <c:pt idx="5">
                  <c:v>-0.34069482708779553</c:v>
                </c:pt>
                <c:pt idx="6">
                  <c:v>-0.16789400478810546</c:v>
                </c:pt>
                <c:pt idx="7">
                  <c:v>0</c:v>
                </c:pt>
                <c:pt idx="8">
                  <c:v>0.16789400478810546</c:v>
                </c:pt>
                <c:pt idx="9">
                  <c:v>0.34069482708779542</c:v>
                </c:pt>
                <c:pt idx="10">
                  <c:v>0.52440051270804078</c:v>
                </c:pt>
                <c:pt idx="11">
                  <c:v>0.72791329088164458</c:v>
                </c:pt>
                <c:pt idx="12">
                  <c:v>0.96742156610170071</c:v>
                </c:pt>
                <c:pt idx="13">
                  <c:v>1.2815515655446006</c:v>
                </c:pt>
                <c:pt idx="14">
                  <c:v>1.8339146358159142</c:v>
                </c:pt>
              </c:numCache>
            </c:numRef>
          </c:yVal>
          <c:smooth val="0"/>
        </c:ser>
        <c:dLbls>
          <c:showLegendKey val="0"/>
          <c:showVal val="0"/>
          <c:showCatName val="0"/>
          <c:showSerName val="0"/>
          <c:showPercent val="0"/>
          <c:showBubbleSize val="0"/>
        </c:dLbls>
        <c:axId val="296466848"/>
        <c:axId val="296467408"/>
      </c:scatterChart>
      <c:valAx>
        <c:axId val="296466848"/>
        <c:scaling>
          <c:orientation val="minMax"/>
          <c:max val="2"/>
          <c:min val="-2"/>
        </c:scaling>
        <c:delete val="0"/>
        <c:axPos val="b"/>
        <c:numFmt formatCode="#,##0.0" sourceLinked="0"/>
        <c:majorTickMark val="out"/>
        <c:minorTickMark val="none"/>
        <c:tickLblPos val="nextTo"/>
        <c:crossAx val="296467408"/>
        <c:crosses val="autoZero"/>
        <c:crossBetween val="midCat"/>
      </c:valAx>
      <c:valAx>
        <c:axId val="296467408"/>
        <c:scaling>
          <c:orientation val="minMax"/>
        </c:scaling>
        <c:delete val="0"/>
        <c:axPos val="l"/>
        <c:majorGridlines/>
        <c:numFmt formatCode="#,##0.0" sourceLinked="0"/>
        <c:majorTickMark val="out"/>
        <c:minorTickMark val="none"/>
        <c:tickLblPos val="nextTo"/>
        <c:crossAx val="296466848"/>
        <c:crosses val="autoZero"/>
        <c:crossBetween val="midCat"/>
      </c:valAx>
    </c:plotArea>
    <c:legend>
      <c:legendPos val="b"/>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Quantile Comparison</a:t>
            </a:r>
          </a:p>
        </c:rich>
      </c:tx>
      <c:overlay val="0"/>
    </c:title>
    <c:autoTitleDeleted val="0"/>
    <c:plotArea>
      <c:layout/>
      <c:scatterChart>
        <c:scatterStyle val="lineMarker"/>
        <c:varyColors val="0"/>
        <c:ser>
          <c:idx val="0"/>
          <c:order val="0"/>
          <c:tx>
            <c:v>(Residual, Normal)</c:v>
          </c:tx>
          <c:spPr>
            <a:ln w="19050">
              <a:noFill/>
            </a:ln>
          </c:spPr>
          <c:xVal>
            <c:numRef>
              <c:f>'Prediction Residuals - 1D2L'!$R$3:$R$16</c:f>
              <c:numCache>
                <c:formatCode>#,##0.00</c:formatCode>
                <c:ptCount val="14"/>
                <c:pt idx="0">
                  <c:v>-1.3865495662505249</c:v>
                </c:pt>
                <c:pt idx="1">
                  <c:v>-1.3096733734478543</c:v>
                </c:pt>
                <c:pt idx="2">
                  <c:v>-1.3049824915509589</c:v>
                </c:pt>
                <c:pt idx="3">
                  <c:v>-1.0116172406823944</c:v>
                </c:pt>
                <c:pt idx="4">
                  <c:v>-0.39623645042020345</c:v>
                </c:pt>
                <c:pt idx="5">
                  <c:v>-7.3204873560084788E-2</c:v>
                </c:pt>
                <c:pt idx="6">
                  <c:v>-6.8486637484705321E-2</c:v>
                </c:pt>
                <c:pt idx="7">
                  <c:v>-1.3266952424258009E-2</c:v>
                </c:pt>
                <c:pt idx="8">
                  <c:v>0.17648843215650881</c:v>
                </c:pt>
                <c:pt idx="9">
                  <c:v>0.56396934721558756</c:v>
                </c:pt>
                <c:pt idx="10">
                  <c:v>0.8137051949946853</c:v>
                </c:pt>
                <c:pt idx="11">
                  <c:v>1.1569787919900634</c:v>
                </c:pt>
                <c:pt idx="12">
                  <c:v>1.2694624033384059</c:v>
                </c:pt>
                <c:pt idx="13">
                  <c:v>1.5834134161257334</c:v>
                </c:pt>
              </c:numCache>
            </c:numRef>
          </c:xVal>
          <c:yVal>
            <c:numRef>
              <c:f>'Prediction Residuals - 1D2L'!$U$3:$U$16</c:f>
              <c:numCache>
                <c:formatCode>#,##0.00</c:formatCode>
                <c:ptCount val="14"/>
                <c:pt idx="0">
                  <c:v>-1.8027430907391901</c:v>
                </c:pt>
                <c:pt idx="1">
                  <c:v>-1.2418667918433208</c:v>
                </c:pt>
                <c:pt idx="2">
                  <c:v>-0.9208229763683794</c:v>
                </c:pt>
                <c:pt idx="3">
                  <c:v>-0.67448975019608193</c:v>
                </c:pt>
                <c:pt idx="4">
                  <c:v>-0.46370775145717902</c:v>
                </c:pt>
                <c:pt idx="5">
                  <c:v>-0.27188000539926088</c:v>
                </c:pt>
                <c:pt idx="6">
                  <c:v>-8.9642351075762544E-2</c:v>
                </c:pt>
                <c:pt idx="7">
                  <c:v>8.9642351075762544E-2</c:v>
                </c:pt>
                <c:pt idx="8">
                  <c:v>0.27188000539926077</c:v>
                </c:pt>
                <c:pt idx="9">
                  <c:v>0.46370775145717918</c:v>
                </c:pt>
                <c:pt idx="10">
                  <c:v>0.67448975019608193</c:v>
                </c:pt>
                <c:pt idx="11">
                  <c:v>0.9208229763683794</c:v>
                </c:pt>
                <c:pt idx="12">
                  <c:v>1.2418667918433208</c:v>
                </c:pt>
                <c:pt idx="13">
                  <c:v>1.8027430907391906</c:v>
                </c:pt>
              </c:numCache>
            </c:numRef>
          </c:yVal>
          <c:smooth val="0"/>
        </c:ser>
        <c:ser>
          <c:idx val="1"/>
          <c:order val="1"/>
          <c:tx>
            <c:v>Y=X</c:v>
          </c:tx>
          <c:spPr>
            <a:ln w="19050">
              <a:noFill/>
            </a:ln>
          </c:spPr>
          <c:trendline>
            <c:trendlineType val="linear"/>
            <c:dispRSqr val="0"/>
            <c:dispEq val="0"/>
          </c:trendline>
          <c:xVal>
            <c:numRef>
              <c:f>'Prediction Residuals - 1D2L'!$U$3:$U$16</c:f>
              <c:numCache>
                <c:formatCode>#,##0.00</c:formatCode>
                <c:ptCount val="14"/>
                <c:pt idx="0">
                  <c:v>-1.8027430907391901</c:v>
                </c:pt>
                <c:pt idx="1">
                  <c:v>-1.2418667918433208</c:v>
                </c:pt>
                <c:pt idx="2">
                  <c:v>-0.9208229763683794</c:v>
                </c:pt>
                <c:pt idx="3">
                  <c:v>-0.67448975019608193</c:v>
                </c:pt>
                <c:pt idx="4">
                  <c:v>-0.46370775145717902</c:v>
                </c:pt>
                <c:pt idx="5">
                  <c:v>-0.27188000539926088</c:v>
                </c:pt>
                <c:pt idx="6">
                  <c:v>-8.9642351075762544E-2</c:v>
                </c:pt>
                <c:pt idx="7">
                  <c:v>8.9642351075762544E-2</c:v>
                </c:pt>
                <c:pt idx="8">
                  <c:v>0.27188000539926077</c:v>
                </c:pt>
                <c:pt idx="9">
                  <c:v>0.46370775145717918</c:v>
                </c:pt>
                <c:pt idx="10">
                  <c:v>0.67448975019608193</c:v>
                </c:pt>
                <c:pt idx="11">
                  <c:v>0.9208229763683794</c:v>
                </c:pt>
                <c:pt idx="12">
                  <c:v>1.2418667918433208</c:v>
                </c:pt>
                <c:pt idx="13">
                  <c:v>1.8027430907391906</c:v>
                </c:pt>
              </c:numCache>
            </c:numRef>
          </c:xVal>
          <c:yVal>
            <c:numRef>
              <c:f>'Prediction Residuals - 1D2L'!$U$3:$U$16</c:f>
              <c:numCache>
                <c:formatCode>#,##0.00</c:formatCode>
                <c:ptCount val="14"/>
                <c:pt idx="0">
                  <c:v>-1.8027430907391901</c:v>
                </c:pt>
                <c:pt idx="1">
                  <c:v>-1.2418667918433208</c:v>
                </c:pt>
                <c:pt idx="2">
                  <c:v>-0.9208229763683794</c:v>
                </c:pt>
                <c:pt idx="3">
                  <c:v>-0.67448975019608193</c:v>
                </c:pt>
                <c:pt idx="4">
                  <c:v>-0.46370775145717902</c:v>
                </c:pt>
                <c:pt idx="5">
                  <c:v>-0.27188000539926088</c:v>
                </c:pt>
                <c:pt idx="6">
                  <c:v>-8.9642351075762544E-2</c:v>
                </c:pt>
                <c:pt idx="7">
                  <c:v>8.9642351075762544E-2</c:v>
                </c:pt>
                <c:pt idx="8">
                  <c:v>0.27188000539926077</c:v>
                </c:pt>
                <c:pt idx="9">
                  <c:v>0.46370775145717918</c:v>
                </c:pt>
                <c:pt idx="10">
                  <c:v>0.67448975019608193</c:v>
                </c:pt>
                <c:pt idx="11">
                  <c:v>0.9208229763683794</c:v>
                </c:pt>
                <c:pt idx="12">
                  <c:v>1.2418667918433208</c:v>
                </c:pt>
                <c:pt idx="13">
                  <c:v>1.8027430907391906</c:v>
                </c:pt>
              </c:numCache>
            </c:numRef>
          </c:yVal>
          <c:smooth val="0"/>
        </c:ser>
        <c:dLbls>
          <c:showLegendKey val="0"/>
          <c:showVal val="0"/>
          <c:showCatName val="0"/>
          <c:showSerName val="0"/>
          <c:showPercent val="0"/>
          <c:showBubbleSize val="0"/>
        </c:dLbls>
        <c:axId val="296470208"/>
        <c:axId val="296470768"/>
      </c:scatterChart>
      <c:valAx>
        <c:axId val="296470208"/>
        <c:scaling>
          <c:orientation val="minMax"/>
        </c:scaling>
        <c:delete val="0"/>
        <c:axPos val="b"/>
        <c:numFmt formatCode="#,##0.0" sourceLinked="0"/>
        <c:majorTickMark val="out"/>
        <c:minorTickMark val="none"/>
        <c:tickLblPos val="nextTo"/>
        <c:crossAx val="296470768"/>
        <c:crosses val="autoZero"/>
        <c:crossBetween val="midCat"/>
      </c:valAx>
      <c:valAx>
        <c:axId val="296470768"/>
        <c:scaling>
          <c:orientation val="minMax"/>
        </c:scaling>
        <c:delete val="0"/>
        <c:axPos val="l"/>
        <c:majorGridlines/>
        <c:numFmt formatCode="#,##0.0" sourceLinked="0"/>
        <c:majorTickMark val="out"/>
        <c:minorTickMark val="none"/>
        <c:tickLblPos val="nextTo"/>
        <c:crossAx val="296470208"/>
        <c:crosses val="autoZero"/>
        <c:crossBetween val="midCat"/>
      </c:valAx>
    </c:plotArea>
    <c:legend>
      <c:legendPos val="b"/>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Quantile Comparison</a:t>
            </a:r>
          </a:p>
        </c:rich>
      </c:tx>
      <c:overlay val="0"/>
    </c:title>
    <c:autoTitleDeleted val="0"/>
    <c:plotArea>
      <c:layout/>
      <c:scatterChart>
        <c:scatterStyle val="lineMarker"/>
        <c:varyColors val="0"/>
        <c:ser>
          <c:idx val="0"/>
          <c:order val="0"/>
          <c:tx>
            <c:v>(Residual, Normal)</c:v>
          </c:tx>
          <c:spPr>
            <a:ln w="19050">
              <a:noFill/>
            </a:ln>
          </c:spPr>
          <c:xVal>
            <c:numRef>
              <c:f>'Prediction Residuals - 1D1L'!$R$3:$R$17</c:f>
              <c:numCache>
                <c:formatCode>#,##0.00</c:formatCode>
                <c:ptCount val="15"/>
                <c:pt idx="0">
                  <c:v>-2.0389408328936161</c:v>
                </c:pt>
                <c:pt idx="1">
                  <c:v>-1.1151411054593647</c:v>
                </c:pt>
                <c:pt idx="2">
                  <c:v>-1.0711562840402793</c:v>
                </c:pt>
                <c:pt idx="3">
                  <c:v>-1.0575017367849266</c:v>
                </c:pt>
                <c:pt idx="4">
                  <c:v>-0.91491390492534519</c:v>
                </c:pt>
                <c:pt idx="5">
                  <c:v>-0.43556820968240023</c:v>
                </c:pt>
                <c:pt idx="6">
                  <c:v>-0.19741335673953264</c:v>
                </c:pt>
                <c:pt idx="7">
                  <c:v>-0.17921223030045652</c:v>
                </c:pt>
                <c:pt idx="8">
                  <c:v>-8.9717187931589712E-2</c:v>
                </c:pt>
                <c:pt idx="9">
                  <c:v>0.18029333870570668</c:v>
                </c:pt>
                <c:pt idx="10">
                  <c:v>0.4958140862927844</c:v>
                </c:pt>
                <c:pt idx="11">
                  <c:v>0.59592768655979422</c:v>
                </c:pt>
                <c:pt idx="12">
                  <c:v>1.0934745082418154</c:v>
                </c:pt>
                <c:pt idx="13">
                  <c:v>1.1996600872232444</c:v>
                </c:pt>
                <c:pt idx="14">
                  <c:v>1.4954543088405501</c:v>
                </c:pt>
              </c:numCache>
            </c:numRef>
          </c:xVal>
          <c:yVal>
            <c:numRef>
              <c:f>'Prediction Residuals - 1D1L'!$U$3:$U$17</c:f>
              <c:numCache>
                <c:formatCode>#,##0.00</c:formatCode>
                <c:ptCount val="15"/>
                <c:pt idx="0">
                  <c:v>-1.8339146358159142</c:v>
                </c:pt>
                <c:pt idx="1">
                  <c:v>-1.2815515655446006</c:v>
                </c:pt>
                <c:pt idx="2">
                  <c:v>-0.96742156610170071</c:v>
                </c:pt>
                <c:pt idx="3">
                  <c:v>-0.72791329088164469</c:v>
                </c:pt>
                <c:pt idx="4">
                  <c:v>-0.52440051270804089</c:v>
                </c:pt>
                <c:pt idx="5">
                  <c:v>-0.34069482708779553</c:v>
                </c:pt>
                <c:pt idx="6">
                  <c:v>-0.16789400478810546</c:v>
                </c:pt>
                <c:pt idx="7">
                  <c:v>0</c:v>
                </c:pt>
                <c:pt idx="8">
                  <c:v>0.16789400478810546</c:v>
                </c:pt>
                <c:pt idx="9">
                  <c:v>0.34069482708779542</c:v>
                </c:pt>
                <c:pt idx="10">
                  <c:v>0.52440051270804078</c:v>
                </c:pt>
                <c:pt idx="11">
                  <c:v>0.72791329088164458</c:v>
                </c:pt>
                <c:pt idx="12">
                  <c:v>0.96742156610170071</c:v>
                </c:pt>
                <c:pt idx="13">
                  <c:v>1.2815515655446006</c:v>
                </c:pt>
                <c:pt idx="14">
                  <c:v>1.8339146358159142</c:v>
                </c:pt>
              </c:numCache>
            </c:numRef>
          </c:yVal>
          <c:smooth val="0"/>
        </c:ser>
        <c:ser>
          <c:idx val="1"/>
          <c:order val="1"/>
          <c:tx>
            <c:v>Y=X</c:v>
          </c:tx>
          <c:spPr>
            <a:ln w="19050">
              <a:noFill/>
            </a:ln>
          </c:spPr>
          <c:trendline>
            <c:trendlineType val="linear"/>
            <c:dispRSqr val="0"/>
            <c:dispEq val="0"/>
          </c:trendline>
          <c:xVal>
            <c:numRef>
              <c:f>'Prediction Residuals - 1D1L'!$U$3:$U$17</c:f>
              <c:numCache>
                <c:formatCode>#,##0.00</c:formatCode>
                <c:ptCount val="15"/>
                <c:pt idx="0">
                  <c:v>-1.8339146358159142</c:v>
                </c:pt>
                <c:pt idx="1">
                  <c:v>-1.2815515655446006</c:v>
                </c:pt>
                <c:pt idx="2">
                  <c:v>-0.96742156610170071</c:v>
                </c:pt>
                <c:pt idx="3">
                  <c:v>-0.72791329088164469</c:v>
                </c:pt>
                <c:pt idx="4">
                  <c:v>-0.52440051270804089</c:v>
                </c:pt>
                <c:pt idx="5">
                  <c:v>-0.34069482708779553</c:v>
                </c:pt>
                <c:pt idx="6">
                  <c:v>-0.16789400478810546</c:v>
                </c:pt>
                <c:pt idx="7">
                  <c:v>0</c:v>
                </c:pt>
                <c:pt idx="8">
                  <c:v>0.16789400478810546</c:v>
                </c:pt>
                <c:pt idx="9">
                  <c:v>0.34069482708779542</c:v>
                </c:pt>
                <c:pt idx="10">
                  <c:v>0.52440051270804078</c:v>
                </c:pt>
                <c:pt idx="11">
                  <c:v>0.72791329088164458</c:v>
                </c:pt>
                <c:pt idx="12">
                  <c:v>0.96742156610170071</c:v>
                </c:pt>
                <c:pt idx="13">
                  <c:v>1.2815515655446006</c:v>
                </c:pt>
                <c:pt idx="14">
                  <c:v>1.8339146358159142</c:v>
                </c:pt>
              </c:numCache>
            </c:numRef>
          </c:xVal>
          <c:yVal>
            <c:numRef>
              <c:f>'Prediction Residuals - 1D1L'!$U$3:$U$17</c:f>
              <c:numCache>
                <c:formatCode>#,##0.00</c:formatCode>
                <c:ptCount val="15"/>
                <c:pt idx="0">
                  <c:v>-1.8339146358159142</c:v>
                </c:pt>
                <c:pt idx="1">
                  <c:v>-1.2815515655446006</c:v>
                </c:pt>
                <c:pt idx="2">
                  <c:v>-0.96742156610170071</c:v>
                </c:pt>
                <c:pt idx="3">
                  <c:v>-0.72791329088164469</c:v>
                </c:pt>
                <c:pt idx="4">
                  <c:v>-0.52440051270804089</c:v>
                </c:pt>
                <c:pt idx="5">
                  <c:v>-0.34069482708779553</c:v>
                </c:pt>
                <c:pt idx="6">
                  <c:v>-0.16789400478810546</c:v>
                </c:pt>
                <c:pt idx="7">
                  <c:v>0</c:v>
                </c:pt>
                <c:pt idx="8">
                  <c:v>0.16789400478810546</c:v>
                </c:pt>
                <c:pt idx="9">
                  <c:v>0.34069482708779542</c:v>
                </c:pt>
                <c:pt idx="10">
                  <c:v>0.52440051270804078</c:v>
                </c:pt>
                <c:pt idx="11">
                  <c:v>0.72791329088164458</c:v>
                </c:pt>
                <c:pt idx="12">
                  <c:v>0.96742156610170071</c:v>
                </c:pt>
                <c:pt idx="13">
                  <c:v>1.2815515655446006</c:v>
                </c:pt>
                <c:pt idx="14">
                  <c:v>1.8339146358159142</c:v>
                </c:pt>
              </c:numCache>
            </c:numRef>
          </c:yVal>
          <c:smooth val="0"/>
        </c:ser>
        <c:dLbls>
          <c:showLegendKey val="0"/>
          <c:showVal val="0"/>
          <c:showCatName val="0"/>
          <c:showSerName val="0"/>
          <c:showPercent val="0"/>
          <c:showBubbleSize val="0"/>
        </c:dLbls>
        <c:axId val="303209360"/>
        <c:axId val="303209920"/>
      </c:scatterChart>
      <c:valAx>
        <c:axId val="303209360"/>
        <c:scaling>
          <c:orientation val="minMax"/>
          <c:max val="2"/>
          <c:min val="-2"/>
        </c:scaling>
        <c:delete val="0"/>
        <c:axPos val="b"/>
        <c:numFmt formatCode="#,##0.0" sourceLinked="0"/>
        <c:majorTickMark val="out"/>
        <c:minorTickMark val="none"/>
        <c:tickLblPos val="nextTo"/>
        <c:crossAx val="303209920"/>
        <c:crosses val="autoZero"/>
        <c:crossBetween val="midCat"/>
      </c:valAx>
      <c:valAx>
        <c:axId val="303209920"/>
        <c:scaling>
          <c:orientation val="minMax"/>
        </c:scaling>
        <c:delete val="0"/>
        <c:axPos val="l"/>
        <c:majorGridlines/>
        <c:numFmt formatCode="#,##0.0" sourceLinked="0"/>
        <c:majorTickMark val="out"/>
        <c:minorTickMark val="none"/>
        <c:tickLblPos val="nextTo"/>
        <c:crossAx val="303209360"/>
        <c:crosses val="autoZero"/>
        <c:crossBetween val="midCat"/>
      </c:valAx>
    </c:plotArea>
    <c:legend>
      <c:legendPos val="b"/>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Quantile</a:t>
            </a:r>
            <a:r>
              <a:rPr lang="en-US" baseline="0"/>
              <a:t> Comparison</a:t>
            </a:r>
            <a:endParaRPr lang="en-US"/>
          </a:p>
        </c:rich>
      </c:tx>
      <c:overlay val="0"/>
    </c:title>
    <c:autoTitleDeleted val="0"/>
    <c:plotArea>
      <c:layout/>
      <c:scatterChart>
        <c:scatterStyle val="lineMarker"/>
        <c:varyColors val="0"/>
        <c:ser>
          <c:idx val="0"/>
          <c:order val="0"/>
          <c:tx>
            <c:v>(Residual, Normal)</c:v>
          </c:tx>
          <c:spPr>
            <a:ln w="19050">
              <a:noFill/>
            </a:ln>
          </c:spPr>
          <c:xVal>
            <c:numRef>
              <c:f>'Prediction Residuals - 2D2L'!$R$3:$R$15</c:f>
              <c:numCache>
                <c:formatCode>#,##0.00</c:formatCode>
                <c:ptCount val="13"/>
                <c:pt idx="0">
                  <c:v>-1.6057657756427737</c:v>
                </c:pt>
                <c:pt idx="1">
                  <c:v>-1.2980538581821424</c:v>
                </c:pt>
                <c:pt idx="2">
                  <c:v>-0.66336287539144811</c:v>
                </c:pt>
                <c:pt idx="3">
                  <c:v>-0.46850272468846577</c:v>
                </c:pt>
                <c:pt idx="4">
                  <c:v>-0.45683311983551805</c:v>
                </c:pt>
                <c:pt idx="5">
                  <c:v>-0.33049887428116098</c:v>
                </c:pt>
                <c:pt idx="6">
                  <c:v>-0.31246860941569493</c:v>
                </c:pt>
                <c:pt idx="7">
                  <c:v>0.23795775976428818</c:v>
                </c:pt>
                <c:pt idx="8">
                  <c:v>0.29936125448325906</c:v>
                </c:pt>
                <c:pt idx="9">
                  <c:v>0.3456259314049277</c:v>
                </c:pt>
                <c:pt idx="10">
                  <c:v>1.0430889467939497</c:v>
                </c:pt>
                <c:pt idx="11">
                  <c:v>1.3241543013566837</c:v>
                </c:pt>
                <c:pt idx="12">
                  <c:v>1.8852976436340954</c:v>
                </c:pt>
              </c:numCache>
            </c:numRef>
          </c:xVal>
          <c:yVal>
            <c:numRef>
              <c:f>'Prediction Residuals - 2D2L'!$U$3:$U$15</c:f>
              <c:numCache>
                <c:formatCode>#,##0.00</c:formatCode>
                <c:ptCount val="13"/>
                <c:pt idx="0">
                  <c:v>-1.7688250385187059</c:v>
                </c:pt>
                <c:pt idx="1">
                  <c:v>-1.1983797023069247</c:v>
                </c:pt>
                <c:pt idx="2">
                  <c:v>-0.86942377328888587</c:v>
                </c:pt>
                <c:pt idx="3">
                  <c:v>-0.61514110459597382</c:v>
                </c:pt>
                <c:pt idx="4">
                  <c:v>-0.39572529581448734</c:v>
                </c:pt>
                <c:pt idx="5">
                  <c:v>-0.19402814242392633</c:v>
                </c:pt>
                <c:pt idx="6">
                  <c:v>0</c:v>
                </c:pt>
                <c:pt idx="7">
                  <c:v>0.19402814242392619</c:v>
                </c:pt>
                <c:pt idx="8">
                  <c:v>0.39572529581448734</c:v>
                </c:pt>
                <c:pt idx="9">
                  <c:v>0.61514110459597326</c:v>
                </c:pt>
                <c:pt idx="10">
                  <c:v>0.86942377328888587</c:v>
                </c:pt>
                <c:pt idx="11">
                  <c:v>1.1983797023069247</c:v>
                </c:pt>
                <c:pt idx="12">
                  <c:v>1.7688250385187059</c:v>
                </c:pt>
              </c:numCache>
            </c:numRef>
          </c:yVal>
          <c:smooth val="0"/>
        </c:ser>
        <c:ser>
          <c:idx val="1"/>
          <c:order val="1"/>
          <c:tx>
            <c:v>Y=X</c:v>
          </c:tx>
          <c:spPr>
            <a:ln w="19050">
              <a:noFill/>
            </a:ln>
          </c:spPr>
          <c:trendline>
            <c:trendlineType val="linear"/>
            <c:dispRSqr val="0"/>
            <c:dispEq val="0"/>
          </c:trendline>
          <c:xVal>
            <c:numRef>
              <c:f>'Prediction Residuals - 2D2L'!$U$3:$U$15</c:f>
              <c:numCache>
                <c:formatCode>#,##0.00</c:formatCode>
                <c:ptCount val="13"/>
                <c:pt idx="0">
                  <c:v>-1.7688250385187059</c:v>
                </c:pt>
                <c:pt idx="1">
                  <c:v>-1.1983797023069247</c:v>
                </c:pt>
                <c:pt idx="2">
                  <c:v>-0.86942377328888587</c:v>
                </c:pt>
                <c:pt idx="3">
                  <c:v>-0.61514110459597382</c:v>
                </c:pt>
                <c:pt idx="4">
                  <c:v>-0.39572529581448734</c:v>
                </c:pt>
                <c:pt idx="5">
                  <c:v>-0.19402814242392633</c:v>
                </c:pt>
                <c:pt idx="6">
                  <c:v>0</c:v>
                </c:pt>
                <c:pt idx="7">
                  <c:v>0.19402814242392619</c:v>
                </c:pt>
                <c:pt idx="8">
                  <c:v>0.39572529581448734</c:v>
                </c:pt>
                <c:pt idx="9">
                  <c:v>0.61514110459597326</c:v>
                </c:pt>
                <c:pt idx="10">
                  <c:v>0.86942377328888587</c:v>
                </c:pt>
                <c:pt idx="11">
                  <c:v>1.1983797023069247</c:v>
                </c:pt>
                <c:pt idx="12">
                  <c:v>1.7688250385187059</c:v>
                </c:pt>
              </c:numCache>
            </c:numRef>
          </c:xVal>
          <c:yVal>
            <c:numRef>
              <c:f>'Prediction Residuals - 2D2L'!$U$3:$U$15</c:f>
              <c:numCache>
                <c:formatCode>#,##0.00</c:formatCode>
                <c:ptCount val="13"/>
                <c:pt idx="0">
                  <c:v>-1.7688250385187059</c:v>
                </c:pt>
                <c:pt idx="1">
                  <c:v>-1.1983797023069247</c:v>
                </c:pt>
                <c:pt idx="2">
                  <c:v>-0.86942377328888587</c:v>
                </c:pt>
                <c:pt idx="3">
                  <c:v>-0.61514110459597382</c:v>
                </c:pt>
                <c:pt idx="4">
                  <c:v>-0.39572529581448734</c:v>
                </c:pt>
                <c:pt idx="5">
                  <c:v>-0.19402814242392633</c:v>
                </c:pt>
                <c:pt idx="6">
                  <c:v>0</c:v>
                </c:pt>
                <c:pt idx="7">
                  <c:v>0.19402814242392619</c:v>
                </c:pt>
                <c:pt idx="8">
                  <c:v>0.39572529581448734</c:v>
                </c:pt>
                <c:pt idx="9">
                  <c:v>0.61514110459597326</c:v>
                </c:pt>
                <c:pt idx="10">
                  <c:v>0.86942377328888587</c:v>
                </c:pt>
                <c:pt idx="11">
                  <c:v>1.1983797023069247</c:v>
                </c:pt>
                <c:pt idx="12">
                  <c:v>1.7688250385187059</c:v>
                </c:pt>
              </c:numCache>
            </c:numRef>
          </c:yVal>
          <c:smooth val="0"/>
        </c:ser>
        <c:dLbls>
          <c:showLegendKey val="0"/>
          <c:showVal val="0"/>
          <c:showCatName val="0"/>
          <c:showSerName val="0"/>
          <c:showPercent val="0"/>
          <c:showBubbleSize val="0"/>
        </c:dLbls>
        <c:axId val="303212720"/>
        <c:axId val="303213280"/>
      </c:scatterChart>
      <c:valAx>
        <c:axId val="303212720"/>
        <c:scaling>
          <c:orientation val="minMax"/>
          <c:max val="2"/>
          <c:min val="-2"/>
        </c:scaling>
        <c:delete val="0"/>
        <c:axPos val="b"/>
        <c:numFmt formatCode="#,##0.0" sourceLinked="0"/>
        <c:majorTickMark val="out"/>
        <c:minorTickMark val="none"/>
        <c:tickLblPos val="nextTo"/>
        <c:crossAx val="303213280"/>
        <c:crosses val="autoZero"/>
        <c:crossBetween val="midCat"/>
      </c:valAx>
      <c:valAx>
        <c:axId val="303213280"/>
        <c:scaling>
          <c:orientation val="minMax"/>
        </c:scaling>
        <c:delete val="0"/>
        <c:axPos val="l"/>
        <c:majorGridlines/>
        <c:numFmt formatCode="#,##0.0" sourceLinked="0"/>
        <c:majorTickMark val="out"/>
        <c:minorTickMark val="none"/>
        <c:tickLblPos val="nextTo"/>
        <c:crossAx val="303212720"/>
        <c:crosses val="autoZero"/>
        <c:crossBetween val="midCat"/>
      </c:valAx>
    </c:plotArea>
    <c:legend>
      <c:legendPos val="b"/>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Quantile</a:t>
            </a:r>
            <a:r>
              <a:rPr lang="en-US" baseline="0"/>
              <a:t> Comparison</a:t>
            </a:r>
            <a:endParaRPr lang="en-US"/>
          </a:p>
        </c:rich>
      </c:tx>
      <c:overlay val="0"/>
    </c:title>
    <c:autoTitleDeleted val="0"/>
    <c:plotArea>
      <c:layout/>
      <c:scatterChart>
        <c:scatterStyle val="lineMarker"/>
        <c:varyColors val="0"/>
        <c:ser>
          <c:idx val="0"/>
          <c:order val="0"/>
          <c:tx>
            <c:v>(Residual, Normal)</c:v>
          </c:tx>
          <c:spPr>
            <a:ln w="19050">
              <a:noFill/>
            </a:ln>
          </c:spPr>
          <c:xVal>
            <c:numRef>
              <c:f>'Prediction Residuals - 2D1L'!$R$3:$R$16</c:f>
              <c:numCache>
                <c:formatCode>#,##0.00</c:formatCode>
                <c:ptCount val="14"/>
                <c:pt idx="0">
                  <c:v>-1.2261232176422872</c:v>
                </c:pt>
                <c:pt idx="1">
                  <c:v>-1.0365131628414397</c:v>
                </c:pt>
                <c:pt idx="2">
                  <c:v>-0.96473429705381808</c:v>
                </c:pt>
                <c:pt idx="3">
                  <c:v>-0.76201126307731271</c:v>
                </c:pt>
                <c:pt idx="4">
                  <c:v>-0.53505993390668383</c:v>
                </c:pt>
                <c:pt idx="5">
                  <c:v>-0.34835356205777723</c:v>
                </c:pt>
                <c:pt idx="6">
                  <c:v>-0.27947837922209651</c:v>
                </c:pt>
                <c:pt idx="7">
                  <c:v>-0.17666502075787335</c:v>
                </c:pt>
                <c:pt idx="8">
                  <c:v>-5.5430733003408506E-2</c:v>
                </c:pt>
                <c:pt idx="9">
                  <c:v>0.14388920223185786</c:v>
                </c:pt>
                <c:pt idx="10">
                  <c:v>0.90332825301384401</c:v>
                </c:pt>
                <c:pt idx="11">
                  <c:v>0.909635034707024</c:v>
                </c:pt>
                <c:pt idx="12">
                  <c:v>1.3669407917895207</c:v>
                </c:pt>
                <c:pt idx="13">
                  <c:v>2.2044654900523084</c:v>
                </c:pt>
              </c:numCache>
            </c:numRef>
          </c:xVal>
          <c:yVal>
            <c:numRef>
              <c:f>'Prediction Residuals - 2D1L'!$U$3:$U$16</c:f>
              <c:numCache>
                <c:formatCode>#,##0.00</c:formatCode>
                <c:ptCount val="14"/>
                <c:pt idx="0">
                  <c:v>-1.8027430907391901</c:v>
                </c:pt>
                <c:pt idx="1">
                  <c:v>-1.2418667918433208</c:v>
                </c:pt>
                <c:pt idx="2">
                  <c:v>-0.9208229763683794</c:v>
                </c:pt>
                <c:pt idx="3">
                  <c:v>-0.67448975019608193</c:v>
                </c:pt>
                <c:pt idx="4">
                  <c:v>-0.46370775145717902</c:v>
                </c:pt>
                <c:pt idx="5">
                  <c:v>-0.27188000539926088</c:v>
                </c:pt>
                <c:pt idx="6">
                  <c:v>-8.9642351075762544E-2</c:v>
                </c:pt>
                <c:pt idx="7">
                  <c:v>8.9642351075762544E-2</c:v>
                </c:pt>
                <c:pt idx="8">
                  <c:v>0.27188000539926077</c:v>
                </c:pt>
                <c:pt idx="9">
                  <c:v>0.46370775145717918</c:v>
                </c:pt>
                <c:pt idx="10">
                  <c:v>0.67448975019608193</c:v>
                </c:pt>
                <c:pt idx="11">
                  <c:v>0.9208229763683794</c:v>
                </c:pt>
                <c:pt idx="12">
                  <c:v>1.2418667918433208</c:v>
                </c:pt>
                <c:pt idx="13">
                  <c:v>1.8027430907391906</c:v>
                </c:pt>
              </c:numCache>
            </c:numRef>
          </c:yVal>
          <c:smooth val="0"/>
        </c:ser>
        <c:ser>
          <c:idx val="1"/>
          <c:order val="1"/>
          <c:tx>
            <c:v>Y=X</c:v>
          </c:tx>
          <c:spPr>
            <a:ln w="19050">
              <a:noFill/>
            </a:ln>
          </c:spPr>
          <c:trendline>
            <c:trendlineType val="linear"/>
            <c:dispRSqr val="0"/>
            <c:dispEq val="0"/>
          </c:trendline>
          <c:xVal>
            <c:numRef>
              <c:f>'Prediction Residuals - 2D1L'!$U$3:$U$16</c:f>
              <c:numCache>
                <c:formatCode>#,##0.00</c:formatCode>
                <c:ptCount val="14"/>
                <c:pt idx="0">
                  <c:v>-1.8027430907391901</c:v>
                </c:pt>
                <c:pt idx="1">
                  <c:v>-1.2418667918433208</c:v>
                </c:pt>
                <c:pt idx="2">
                  <c:v>-0.9208229763683794</c:v>
                </c:pt>
                <c:pt idx="3">
                  <c:v>-0.67448975019608193</c:v>
                </c:pt>
                <c:pt idx="4">
                  <c:v>-0.46370775145717902</c:v>
                </c:pt>
                <c:pt idx="5">
                  <c:v>-0.27188000539926088</c:v>
                </c:pt>
                <c:pt idx="6">
                  <c:v>-8.9642351075762544E-2</c:v>
                </c:pt>
                <c:pt idx="7">
                  <c:v>8.9642351075762544E-2</c:v>
                </c:pt>
                <c:pt idx="8">
                  <c:v>0.27188000539926077</c:v>
                </c:pt>
                <c:pt idx="9">
                  <c:v>0.46370775145717918</c:v>
                </c:pt>
                <c:pt idx="10">
                  <c:v>0.67448975019608193</c:v>
                </c:pt>
                <c:pt idx="11">
                  <c:v>0.9208229763683794</c:v>
                </c:pt>
                <c:pt idx="12">
                  <c:v>1.2418667918433208</c:v>
                </c:pt>
                <c:pt idx="13">
                  <c:v>1.8027430907391906</c:v>
                </c:pt>
              </c:numCache>
            </c:numRef>
          </c:xVal>
          <c:yVal>
            <c:numRef>
              <c:f>'Prediction Residuals - 2D1L'!$U$3:$U$16</c:f>
              <c:numCache>
                <c:formatCode>#,##0.00</c:formatCode>
                <c:ptCount val="14"/>
                <c:pt idx="0">
                  <c:v>-1.8027430907391901</c:v>
                </c:pt>
                <c:pt idx="1">
                  <c:v>-1.2418667918433208</c:v>
                </c:pt>
                <c:pt idx="2">
                  <c:v>-0.9208229763683794</c:v>
                </c:pt>
                <c:pt idx="3">
                  <c:v>-0.67448975019608193</c:v>
                </c:pt>
                <c:pt idx="4">
                  <c:v>-0.46370775145717902</c:v>
                </c:pt>
                <c:pt idx="5">
                  <c:v>-0.27188000539926088</c:v>
                </c:pt>
                <c:pt idx="6">
                  <c:v>-8.9642351075762544E-2</c:v>
                </c:pt>
                <c:pt idx="7">
                  <c:v>8.9642351075762544E-2</c:v>
                </c:pt>
                <c:pt idx="8">
                  <c:v>0.27188000539926077</c:v>
                </c:pt>
                <c:pt idx="9">
                  <c:v>0.46370775145717918</c:v>
                </c:pt>
                <c:pt idx="10">
                  <c:v>0.67448975019608193</c:v>
                </c:pt>
                <c:pt idx="11">
                  <c:v>0.9208229763683794</c:v>
                </c:pt>
                <c:pt idx="12">
                  <c:v>1.2418667918433208</c:v>
                </c:pt>
                <c:pt idx="13">
                  <c:v>1.8027430907391906</c:v>
                </c:pt>
              </c:numCache>
            </c:numRef>
          </c:yVal>
          <c:smooth val="0"/>
        </c:ser>
        <c:dLbls>
          <c:showLegendKey val="0"/>
          <c:showVal val="0"/>
          <c:showCatName val="0"/>
          <c:showSerName val="0"/>
          <c:showPercent val="0"/>
          <c:showBubbleSize val="0"/>
        </c:dLbls>
        <c:axId val="305464320"/>
        <c:axId val="305464880"/>
      </c:scatterChart>
      <c:valAx>
        <c:axId val="305464320"/>
        <c:scaling>
          <c:orientation val="minMax"/>
          <c:max val="2"/>
          <c:min val="-2"/>
        </c:scaling>
        <c:delete val="0"/>
        <c:axPos val="b"/>
        <c:numFmt formatCode="#,##0.0" sourceLinked="0"/>
        <c:majorTickMark val="out"/>
        <c:minorTickMark val="none"/>
        <c:tickLblPos val="nextTo"/>
        <c:crossAx val="305464880"/>
        <c:crosses val="autoZero"/>
        <c:crossBetween val="midCat"/>
      </c:valAx>
      <c:valAx>
        <c:axId val="305464880"/>
        <c:scaling>
          <c:orientation val="minMax"/>
        </c:scaling>
        <c:delete val="0"/>
        <c:axPos val="l"/>
        <c:majorGridlines/>
        <c:numFmt formatCode="#,##0.0" sourceLinked="0"/>
        <c:majorTickMark val="out"/>
        <c:minorTickMark val="none"/>
        <c:tickLblPos val="nextTo"/>
        <c:crossAx val="305464320"/>
        <c:crosses val="autoZero"/>
        <c:crossBetween val="midCat"/>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1425</Words>
  <Characters>8128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Liberty Mutual</cp:lastModifiedBy>
  <cp:revision>2</cp:revision>
  <dcterms:created xsi:type="dcterms:W3CDTF">2016-09-22T19:41:00Z</dcterms:created>
  <dcterms:modified xsi:type="dcterms:W3CDTF">2016-09-22T19:41:00Z</dcterms:modified>
</cp:coreProperties>
</file>