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961" w:rsidRDefault="00CB1961" w:rsidP="00CB1961">
      <w:pPr>
        <w:pStyle w:val="Default"/>
        <w:jc w:val="center"/>
      </w:pPr>
    </w:p>
    <w:p w:rsidR="00CB1961" w:rsidRDefault="00CB1961" w:rsidP="00CB1961">
      <w:pPr>
        <w:pStyle w:val="Default"/>
        <w:jc w:val="center"/>
        <w:rPr>
          <w:sz w:val="20"/>
          <w:szCs w:val="20"/>
        </w:rPr>
      </w:pPr>
      <w:r>
        <w:rPr>
          <w:b/>
          <w:bCs/>
          <w:sz w:val="20"/>
          <w:szCs w:val="20"/>
        </w:rPr>
        <w:t>Time Series Student Project:</w:t>
      </w:r>
      <w:r w:rsidR="000D1A0F">
        <w:rPr>
          <w:b/>
          <w:bCs/>
          <w:sz w:val="20"/>
          <w:szCs w:val="20"/>
        </w:rPr>
        <w:t xml:space="preserve"> </w:t>
      </w:r>
      <w:r>
        <w:rPr>
          <w:b/>
          <w:bCs/>
          <w:sz w:val="20"/>
          <w:szCs w:val="20"/>
        </w:rPr>
        <w:t>Infant Mortality Rates</w:t>
      </w:r>
    </w:p>
    <w:p w:rsidR="00CB1961" w:rsidRDefault="009428AC" w:rsidP="00CB1961">
      <w:pPr>
        <w:pStyle w:val="Default"/>
        <w:jc w:val="center"/>
        <w:rPr>
          <w:sz w:val="20"/>
          <w:szCs w:val="20"/>
        </w:rPr>
      </w:pPr>
      <w:proofErr w:type="spellStart"/>
      <w:r>
        <w:rPr>
          <w:sz w:val="20"/>
          <w:szCs w:val="20"/>
        </w:rPr>
        <w:t>xxxxx</w:t>
      </w:r>
      <w:proofErr w:type="spellEnd"/>
      <w:r w:rsidR="00CB1961">
        <w:rPr>
          <w:sz w:val="20"/>
          <w:szCs w:val="20"/>
        </w:rPr>
        <w:t xml:space="preserve"> </w:t>
      </w:r>
      <w:r>
        <w:rPr>
          <w:sz w:val="20"/>
          <w:szCs w:val="20"/>
        </w:rPr>
        <w:t>xxxxxxxx</w:t>
      </w:r>
      <w:bookmarkStart w:id="0" w:name="_GoBack"/>
      <w:bookmarkEnd w:id="0"/>
    </w:p>
    <w:p w:rsidR="00CB1961" w:rsidRDefault="00CB1961" w:rsidP="00CB1961">
      <w:pPr>
        <w:pStyle w:val="Default"/>
        <w:jc w:val="center"/>
        <w:rPr>
          <w:sz w:val="20"/>
          <w:szCs w:val="20"/>
        </w:rPr>
      </w:pPr>
      <w:r>
        <w:rPr>
          <w:sz w:val="20"/>
          <w:szCs w:val="20"/>
        </w:rPr>
        <w:t>Summer 2015 Session</w:t>
      </w:r>
    </w:p>
    <w:p w:rsidR="00CB1961" w:rsidRDefault="00CB1961" w:rsidP="00CB1961">
      <w:pPr>
        <w:pStyle w:val="Default"/>
        <w:rPr>
          <w:sz w:val="20"/>
          <w:szCs w:val="20"/>
        </w:rPr>
      </w:pPr>
      <w:r>
        <w:rPr>
          <w:b/>
          <w:bCs/>
          <w:sz w:val="20"/>
          <w:szCs w:val="20"/>
        </w:rPr>
        <w:t xml:space="preserve">Introduction: </w:t>
      </w:r>
    </w:p>
    <w:p w:rsidR="00CB1961" w:rsidRDefault="00CB1961" w:rsidP="00CB1961">
      <w:pPr>
        <w:pStyle w:val="Default"/>
        <w:rPr>
          <w:sz w:val="20"/>
          <w:szCs w:val="20"/>
        </w:rPr>
      </w:pPr>
      <w:r>
        <w:rPr>
          <w:sz w:val="20"/>
          <w:szCs w:val="20"/>
        </w:rPr>
        <w:t xml:space="preserve">For my project, I thought it would be interesting to analyze the infant mortality rate in the United States, and see if it is at all autoregressive. As time increases, there are advances in technology that make caring for newborns easier, and that may save more lives that could not be saved before. I expect there to be a moving average process based on technological advances that explains any trend, but I will test for an AR factor, as doctors may become more familiar with </w:t>
      </w:r>
      <w:proofErr w:type="spellStart"/>
      <w:r>
        <w:rPr>
          <w:sz w:val="20"/>
          <w:szCs w:val="20"/>
        </w:rPr>
        <w:t>life saving</w:t>
      </w:r>
      <w:proofErr w:type="spellEnd"/>
      <w:r>
        <w:rPr>
          <w:sz w:val="20"/>
          <w:szCs w:val="20"/>
        </w:rPr>
        <w:t xml:space="preserve"> procedures after doing them a few times. I will not test for MA processes, as I only have Excel to work with.</w:t>
      </w:r>
    </w:p>
    <w:p w:rsidR="00CB1961" w:rsidRDefault="00CB1961" w:rsidP="00CB1961">
      <w:pPr>
        <w:pStyle w:val="Default"/>
        <w:rPr>
          <w:sz w:val="20"/>
          <w:szCs w:val="20"/>
        </w:rPr>
      </w:pPr>
      <w:r>
        <w:rPr>
          <w:b/>
          <w:bCs/>
          <w:sz w:val="20"/>
          <w:szCs w:val="20"/>
        </w:rPr>
        <w:t xml:space="preserve">Data: </w:t>
      </w:r>
    </w:p>
    <w:p w:rsidR="00CB1961" w:rsidRDefault="00CB1961" w:rsidP="00CB1961">
      <w:pPr>
        <w:pStyle w:val="Default"/>
        <w:rPr>
          <w:sz w:val="20"/>
          <w:szCs w:val="20"/>
        </w:rPr>
      </w:pPr>
      <w:r>
        <w:rPr>
          <w:sz w:val="20"/>
          <w:szCs w:val="20"/>
        </w:rPr>
        <w:t xml:space="preserve">For this project, I analyzed 6.5 years’ worth of data by month, from January 2009-June 2015. The raw data of American infant death rates </w:t>
      </w:r>
      <w:proofErr w:type="spellStart"/>
      <w:r>
        <w:rPr>
          <w:sz w:val="20"/>
          <w:szCs w:val="20"/>
        </w:rPr>
        <w:t>rates</w:t>
      </w:r>
      <w:proofErr w:type="spellEnd"/>
      <w:r>
        <w:rPr>
          <w:sz w:val="20"/>
          <w:szCs w:val="20"/>
        </w:rPr>
        <w:t xml:space="preserve"> per 1,000 populations by month and year can be seen below, and was obtained from; </w:t>
      </w:r>
    </w:p>
    <w:p w:rsidR="00CB1961" w:rsidRDefault="00CB1961" w:rsidP="00CB1961">
      <w:pPr>
        <w:pStyle w:val="Default"/>
        <w:rPr>
          <w:sz w:val="20"/>
          <w:szCs w:val="20"/>
        </w:rPr>
      </w:pPr>
      <w:r>
        <w:rPr>
          <w:sz w:val="20"/>
          <w:szCs w:val="20"/>
        </w:rPr>
        <w:t xml:space="preserve">http://www.cdc.gov/nchs/products/nvsr/monthly_provisional_notice.htm </w:t>
      </w:r>
    </w:p>
    <w:p w:rsidR="00CB1961" w:rsidRDefault="00CB1961" w:rsidP="00CB1961">
      <w:pPr>
        <w:pStyle w:val="Default"/>
        <w:rPr>
          <w:sz w:val="20"/>
          <w:szCs w:val="20"/>
        </w:rPr>
      </w:pPr>
      <w:r>
        <w:rPr>
          <w:b/>
          <w:bCs/>
          <w:sz w:val="20"/>
          <w:szCs w:val="20"/>
        </w:rPr>
        <w:t xml:space="preserve">Seasonality: </w:t>
      </w:r>
    </w:p>
    <w:p w:rsidR="00FF4CB7" w:rsidRDefault="00CB1961" w:rsidP="00FF4CB7">
      <w:pPr>
        <w:pStyle w:val="Default"/>
        <w:rPr>
          <w:sz w:val="20"/>
          <w:szCs w:val="20"/>
        </w:rPr>
      </w:pPr>
      <w:r>
        <w:rPr>
          <w:sz w:val="20"/>
          <w:szCs w:val="20"/>
        </w:rPr>
        <w:t xml:space="preserve">As discussed previously, a check for seasonality is appropriate. As can be seen in the line graph of raw data, it is </w:t>
      </w:r>
      <w:r w:rsidR="00FF4CB7">
        <w:rPr>
          <w:sz w:val="20"/>
          <w:szCs w:val="20"/>
        </w:rPr>
        <w:t xml:space="preserve">not immediately </w:t>
      </w:r>
      <w:r>
        <w:rPr>
          <w:sz w:val="20"/>
          <w:szCs w:val="20"/>
        </w:rPr>
        <w:t xml:space="preserve">clear that </w:t>
      </w:r>
      <w:r w:rsidR="00FF4CB7">
        <w:rPr>
          <w:sz w:val="20"/>
          <w:szCs w:val="20"/>
        </w:rPr>
        <w:t xml:space="preserve">the data is seasonal, but </w:t>
      </w:r>
      <w:r>
        <w:rPr>
          <w:sz w:val="20"/>
          <w:szCs w:val="20"/>
        </w:rPr>
        <w:t xml:space="preserve">there are </w:t>
      </w:r>
      <w:r w:rsidR="00FF4CB7">
        <w:rPr>
          <w:sz w:val="20"/>
          <w:szCs w:val="20"/>
        </w:rPr>
        <w:t>generally</w:t>
      </w:r>
      <w:r>
        <w:rPr>
          <w:sz w:val="20"/>
          <w:szCs w:val="20"/>
        </w:rPr>
        <w:t xml:space="preserve"> </w:t>
      </w:r>
      <w:r w:rsidR="00FF4CB7">
        <w:rPr>
          <w:sz w:val="20"/>
          <w:szCs w:val="20"/>
        </w:rPr>
        <w:t>lower</w:t>
      </w:r>
      <w:r>
        <w:rPr>
          <w:sz w:val="20"/>
          <w:szCs w:val="20"/>
        </w:rPr>
        <w:t xml:space="preserve"> rates </w:t>
      </w:r>
      <w:r w:rsidR="00FF4CB7">
        <w:rPr>
          <w:sz w:val="20"/>
          <w:szCs w:val="20"/>
        </w:rPr>
        <w:t>in the winter</w:t>
      </w:r>
      <w:r>
        <w:rPr>
          <w:sz w:val="20"/>
          <w:szCs w:val="20"/>
        </w:rPr>
        <w:t>.</w:t>
      </w:r>
      <w:r w:rsidR="00FF4CB7">
        <w:rPr>
          <w:sz w:val="20"/>
          <w:szCs w:val="20"/>
        </w:rPr>
        <w:t xml:space="preserve"> Below is the table of raw data:</w:t>
      </w:r>
    </w:p>
    <w:p w:rsidR="00FF4CB7" w:rsidRDefault="00FF4CB7" w:rsidP="00FF4CB7">
      <w:pPr>
        <w:pStyle w:val="Default"/>
        <w:rPr>
          <w:sz w:val="20"/>
          <w:szCs w:val="20"/>
        </w:rPr>
      </w:pPr>
      <w:r w:rsidRPr="00FF4CB7">
        <w:rPr>
          <w:noProof/>
        </w:rPr>
        <w:t xml:space="preserve"> </w:t>
      </w:r>
      <w:r>
        <w:rPr>
          <w:noProof/>
        </w:rPr>
        <w:drawing>
          <wp:inline distT="0" distB="0" distL="0" distR="0" wp14:anchorId="1E609BAC" wp14:editId="7B40D1B9">
            <wp:extent cx="4838700" cy="30480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CB1961" w:rsidRDefault="00CB1961" w:rsidP="00CB1961">
      <w:pPr>
        <w:pStyle w:val="Default"/>
        <w:rPr>
          <w:sz w:val="20"/>
          <w:szCs w:val="20"/>
        </w:rPr>
      </w:pPr>
      <w:r>
        <w:rPr>
          <w:sz w:val="20"/>
          <w:szCs w:val="20"/>
        </w:rPr>
        <w:t xml:space="preserve"> </w:t>
      </w:r>
    </w:p>
    <w:p w:rsidR="00CB1961" w:rsidRDefault="00CB1961" w:rsidP="00CB1961">
      <w:pPr>
        <w:pStyle w:val="Default"/>
        <w:rPr>
          <w:sz w:val="20"/>
          <w:szCs w:val="20"/>
        </w:rPr>
      </w:pPr>
      <w:r>
        <w:rPr>
          <w:b/>
          <w:bCs/>
          <w:sz w:val="20"/>
          <w:szCs w:val="20"/>
        </w:rPr>
        <w:t xml:space="preserve">Model Specification: </w:t>
      </w:r>
    </w:p>
    <w:p w:rsidR="00CB1961" w:rsidRDefault="00CB1961" w:rsidP="00CB1961">
      <w:pPr>
        <w:pStyle w:val="Default"/>
        <w:rPr>
          <w:sz w:val="20"/>
          <w:szCs w:val="20"/>
        </w:rPr>
      </w:pPr>
      <w:r>
        <w:rPr>
          <w:sz w:val="20"/>
          <w:szCs w:val="20"/>
        </w:rPr>
        <w:t>Various plots and statistics aided me in choosing which model to test. The apparent downward tren</w:t>
      </w:r>
      <w:r w:rsidR="00FF4CB7">
        <w:rPr>
          <w:sz w:val="20"/>
          <w:szCs w:val="20"/>
        </w:rPr>
        <w:t>d which is clear in the previous</w:t>
      </w:r>
      <w:r>
        <w:rPr>
          <w:sz w:val="20"/>
          <w:szCs w:val="20"/>
        </w:rPr>
        <w:t xml:space="preserve"> graph suggests non-</w:t>
      </w:r>
      <w:proofErr w:type="spellStart"/>
      <w:r>
        <w:rPr>
          <w:sz w:val="20"/>
          <w:szCs w:val="20"/>
        </w:rPr>
        <w:t>stationarity</w:t>
      </w:r>
      <w:proofErr w:type="spellEnd"/>
      <w:r>
        <w:rPr>
          <w:sz w:val="20"/>
          <w:szCs w:val="20"/>
        </w:rPr>
        <w:t>. Also, to further support the non-</w:t>
      </w:r>
      <w:proofErr w:type="spellStart"/>
      <w:r>
        <w:rPr>
          <w:sz w:val="20"/>
          <w:szCs w:val="20"/>
        </w:rPr>
        <w:t>stationarity</w:t>
      </w:r>
      <w:proofErr w:type="spellEnd"/>
      <w:r>
        <w:rPr>
          <w:sz w:val="20"/>
          <w:szCs w:val="20"/>
        </w:rPr>
        <w:t xml:space="preserve"> of the data is the plot of the sample ACF function. As you can see, the data does not quickly decrease to zero, and on</w:t>
      </w:r>
      <w:r w:rsidR="00FF4CB7">
        <w:rPr>
          <w:sz w:val="20"/>
          <w:szCs w:val="20"/>
        </w:rPr>
        <w:t>ce there it does not stay there</w:t>
      </w:r>
      <w:r>
        <w:rPr>
          <w:sz w:val="20"/>
          <w:szCs w:val="20"/>
        </w:rPr>
        <w:t xml:space="preserve">. As you can see, this is clearly not an autocorrelation graph of an MA process, as it does not cut off to 0, rather it seems to slowly decline. I am interested in testing the autoregressive function, as the autocorrelation graph seems to suggest it over the MA process. </w:t>
      </w:r>
    </w:p>
    <w:p w:rsidR="00FF4CB7" w:rsidRDefault="00FF4CB7" w:rsidP="00FF4CB7">
      <w:pPr>
        <w:pStyle w:val="Default"/>
        <w:rPr>
          <w:b/>
          <w:bCs/>
          <w:sz w:val="20"/>
          <w:szCs w:val="20"/>
        </w:rPr>
      </w:pPr>
      <w:r>
        <w:rPr>
          <w:noProof/>
        </w:rPr>
        <w:lastRenderedPageBreak/>
        <w:drawing>
          <wp:inline distT="0" distB="0" distL="0" distR="0" wp14:anchorId="19AE8945" wp14:editId="57D4DCE1">
            <wp:extent cx="3330596" cy="2022580"/>
            <wp:effectExtent l="0" t="0" r="22225" b="1587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FF4CB7" w:rsidRDefault="00FF4CB7" w:rsidP="00FF4CB7">
      <w:pPr>
        <w:pStyle w:val="Default"/>
        <w:rPr>
          <w:b/>
          <w:bCs/>
          <w:sz w:val="20"/>
          <w:szCs w:val="20"/>
        </w:rPr>
      </w:pPr>
    </w:p>
    <w:p w:rsidR="00CB1961" w:rsidRDefault="00CB1961" w:rsidP="00FF4CB7">
      <w:pPr>
        <w:pStyle w:val="Default"/>
        <w:rPr>
          <w:sz w:val="20"/>
          <w:szCs w:val="20"/>
        </w:rPr>
      </w:pPr>
      <w:r>
        <w:rPr>
          <w:b/>
          <w:bCs/>
          <w:sz w:val="20"/>
          <w:szCs w:val="20"/>
        </w:rPr>
        <w:t xml:space="preserve">Differencing </w:t>
      </w:r>
    </w:p>
    <w:p w:rsidR="00FF4CB7" w:rsidRDefault="00CB1961" w:rsidP="00CB1961">
      <w:pPr>
        <w:pStyle w:val="Default"/>
        <w:rPr>
          <w:sz w:val="20"/>
          <w:szCs w:val="20"/>
        </w:rPr>
      </w:pPr>
      <w:r>
        <w:rPr>
          <w:sz w:val="20"/>
          <w:szCs w:val="20"/>
        </w:rPr>
        <w:t>Clearly the above graph is not stationary; therefore I have decided to take the first difference. The first differenced autocorrelation graph below is clearly more favorable. Going one step further, I decided to analyze the second difference, of an autoregressive of order 2, which can be seen below. It is hard to tell if it adds any additional value, though it is true that more values can be seen to be not significantly different fr</w:t>
      </w:r>
      <w:r w:rsidR="00FF4CB7">
        <w:rPr>
          <w:sz w:val="20"/>
          <w:szCs w:val="20"/>
        </w:rPr>
        <w:t>om 0.</w:t>
      </w:r>
    </w:p>
    <w:p w:rsidR="00FF4CB7" w:rsidRDefault="00FF4CB7" w:rsidP="00CB1961">
      <w:pPr>
        <w:pStyle w:val="Default"/>
        <w:rPr>
          <w:sz w:val="20"/>
          <w:szCs w:val="20"/>
        </w:rPr>
      </w:pPr>
    </w:p>
    <w:p w:rsidR="00FF4CB7" w:rsidRDefault="00FF4CB7" w:rsidP="00CB1961">
      <w:pPr>
        <w:pStyle w:val="Default"/>
        <w:rPr>
          <w:sz w:val="20"/>
          <w:szCs w:val="20"/>
        </w:rPr>
      </w:pPr>
      <w:r>
        <w:rPr>
          <w:noProof/>
        </w:rPr>
        <w:drawing>
          <wp:inline distT="0" distB="0" distL="0" distR="0" wp14:anchorId="7E17A64B" wp14:editId="5CEE42F4">
            <wp:extent cx="5098840" cy="1871189"/>
            <wp:effectExtent l="0" t="0" r="26035" b="1524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F4CB7" w:rsidRDefault="00FF4CB7" w:rsidP="00CB1961">
      <w:pPr>
        <w:pStyle w:val="Default"/>
        <w:rPr>
          <w:sz w:val="20"/>
          <w:szCs w:val="20"/>
        </w:rPr>
      </w:pPr>
      <w:r>
        <w:rPr>
          <w:noProof/>
        </w:rPr>
        <w:drawing>
          <wp:inline distT="0" distB="0" distL="0" distR="0" wp14:anchorId="0D9F640D" wp14:editId="160FF332">
            <wp:extent cx="5098840" cy="2064970"/>
            <wp:effectExtent l="0" t="0" r="26035" b="1206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B1961" w:rsidRDefault="00CB1961" w:rsidP="00CB1961">
      <w:pPr>
        <w:pStyle w:val="Default"/>
        <w:pageBreakBefore/>
        <w:rPr>
          <w:sz w:val="20"/>
          <w:szCs w:val="20"/>
        </w:rPr>
      </w:pPr>
      <w:r>
        <w:rPr>
          <w:b/>
          <w:bCs/>
          <w:sz w:val="20"/>
          <w:szCs w:val="20"/>
        </w:rPr>
        <w:lastRenderedPageBreak/>
        <w:t xml:space="preserve">Model Diagnostics </w:t>
      </w:r>
      <w:r>
        <w:rPr>
          <w:sz w:val="20"/>
          <w:szCs w:val="20"/>
        </w:rPr>
        <w:t xml:space="preserve">For my analysis, I will be using excels regression add on to attempt to fit an ARI(1,1), ARI(1,2) ARI(2,1) and ARI(2,2). The results of each can be seen </w:t>
      </w:r>
      <w:r w:rsidR="00A24933">
        <w:rPr>
          <w:sz w:val="20"/>
          <w:szCs w:val="20"/>
        </w:rPr>
        <w:t>in</w:t>
      </w:r>
      <w:r>
        <w:rPr>
          <w:sz w:val="20"/>
          <w:szCs w:val="20"/>
        </w:rPr>
        <w:t xml:space="preserve"> the attached workbook. </w:t>
      </w:r>
    </w:p>
    <w:p w:rsidR="00CB1961" w:rsidRDefault="00CB1961" w:rsidP="00CB1961">
      <w:pPr>
        <w:pStyle w:val="Default"/>
        <w:rPr>
          <w:sz w:val="20"/>
          <w:szCs w:val="20"/>
        </w:rPr>
      </w:pPr>
      <w:r>
        <w:rPr>
          <w:sz w:val="20"/>
          <w:szCs w:val="20"/>
        </w:rPr>
        <w:t xml:space="preserve">The </w:t>
      </w:r>
      <w:r>
        <w:rPr>
          <w:rFonts w:ascii="Cambria Math" w:hAnsi="Cambria Math" w:cs="Cambria Math"/>
          <w:sz w:val="20"/>
          <w:szCs w:val="20"/>
        </w:rPr>
        <w:t>𝑅</w:t>
      </w:r>
      <w:r>
        <w:rPr>
          <w:rFonts w:ascii="Cambria Math" w:hAnsi="Cambria Math" w:cs="Cambria Math"/>
          <w:sz w:val="14"/>
          <w:szCs w:val="14"/>
        </w:rPr>
        <w:t xml:space="preserve">2 </w:t>
      </w:r>
      <w:r>
        <w:rPr>
          <w:sz w:val="20"/>
          <w:szCs w:val="20"/>
        </w:rPr>
        <w:t xml:space="preserve">value is used to measure the percentage of the data measured by the model; a higher </w:t>
      </w:r>
      <w:r>
        <w:rPr>
          <w:rFonts w:ascii="Cambria Math" w:hAnsi="Cambria Math" w:cs="Cambria Math"/>
          <w:sz w:val="20"/>
          <w:szCs w:val="20"/>
        </w:rPr>
        <w:t>𝑅</w:t>
      </w:r>
      <w:r>
        <w:rPr>
          <w:rFonts w:ascii="Cambria Math" w:hAnsi="Cambria Math" w:cs="Cambria Math"/>
          <w:sz w:val="14"/>
          <w:szCs w:val="14"/>
        </w:rPr>
        <w:t xml:space="preserve">2 </w:t>
      </w:r>
      <w:r>
        <w:rPr>
          <w:sz w:val="20"/>
          <w:szCs w:val="20"/>
        </w:rPr>
        <w:t xml:space="preserve">value implies a better fit. According to the </w:t>
      </w:r>
      <w:r>
        <w:rPr>
          <w:rFonts w:ascii="Cambria Math" w:hAnsi="Cambria Math" w:cs="Cambria Math"/>
          <w:sz w:val="20"/>
          <w:szCs w:val="20"/>
        </w:rPr>
        <w:t>𝑅</w:t>
      </w:r>
      <w:r>
        <w:rPr>
          <w:rFonts w:ascii="Cambria Math" w:hAnsi="Cambria Math" w:cs="Cambria Math"/>
          <w:sz w:val="14"/>
          <w:szCs w:val="14"/>
        </w:rPr>
        <w:t xml:space="preserve">2 </w:t>
      </w:r>
      <w:r>
        <w:rPr>
          <w:sz w:val="20"/>
          <w:szCs w:val="20"/>
        </w:rPr>
        <w:t xml:space="preserve">value, the </w:t>
      </w:r>
      <w:proofErr w:type="gramStart"/>
      <w:r>
        <w:rPr>
          <w:sz w:val="20"/>
          <w:szCs w:val="20"/>
        </w:rPr>
        <w:t>ARI(</w:t>
      </w:r>
      <w:proofErr w:type="gramEnd"/>
      <w:r>
        <w:rPr>
          <w:sz w:val="20"/>
          <w:szCs w:val="20"/>
        </w:rPr>
        <w:t xml:space="preserve">2,2) model seems to be the best fit. </w:t>
      </w:r>
    </w:p>
    <w:p w:rsidR="00A24933" w:rsidRDefault="00A24933" w:rsidP="00CB1961">
      <w:pPr>
        <w:pStyle w:val="Default"/>
        <w:rPr>
          <w:sz w:val="20"/>
          <w:szCs w:val="20"/>
        </w:rPr>
      </w:pPr>
    </w:p>
    <w:p w:rsidR="00A24933" w:rsidRDefault="00CB1961" w:rsidP="00CB1961">
      <w:pPr>
        <w:pStyle w:val="Default"/>
        <w:rPr>
          <w:sz w:val="20"/>
          <w:szCs w:val="20"/>
        </w:rPr>
      </w:pPr>
      <w:r>
        <w:rPr>
          <w:sz w:val="20"/>
          <w:szCs w:val="20"/>
        </w:rPr>
        <w:t xml:space="preserve">Below is the summary statistics of the </w:t>
      </w:r>
      <w:proofErr w:type="gramStart"/>
      <w:r>
        <w:rPr>
          <w:sz w:val="20"/>
          <w:szCs w:val="20"/>
        </w:rPr>
        <w:t>ARI(</w:t>
      </w:r>
      <w:proofErr w:type="gramEnd"/>
      <w:r>
        <w:rPr>
          <w:sz w:val="20"/>
          <w:szCs w:val="20"/>
        </w:rPr>
        <w:t>2,2)process.</w:t>
      </w:r>
    </w:p>
    <w:p w:rsidR="00A24933" w:rsidRDefault="00A24933" w:rsidP="00CB1961">
      <w:pPr>
        <w:pStyle w:val="Default"/>
        <w:rPr>
          <w:sz w:val="20"/>
          <w:szCs w:val="20"/>
        </w:rPr>
      </w:pPr>
    </w:p>
    <w:p w:rsidR="00A24933" w:rsidRDefault="00A24933" w:rsidP="00A24933">
      <w:pPr>
        <w:pStyle w:val="Default"/>
        <w:rPr>
          <w:sz w:val="20"/>
          <w:szCs w:val="20"/>
        </w:rPr>
      </w:pPr>
      <w:r w:rsidRPr="00A24933">
        <w:rPr>
          <w:noProof/>
        </w:rPr>
        <w:drawing>
          <wp:inline distT="0" distB="0" distL="0" distR="0" wp14:anchorId="28FA095E" wp14:editId="1B46137F">
            <wp:extent cx="5943600" cy="312749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127492"/>
                    </a:xfrm>
                    <a:prstGeom prst="rect">
                      <a:avLst/>
                    </a:prstGeom>
                    <a:noFill/>
                    <a:ln>
                      <a:noFill/>
                    </a:ln>
                  </pic:spPr>
                </pic:pic>
              </a:graphicData>
            </a:graphic>
          </wp:inline>
        </w:drawing>
      </w:r>
      <w:r w:rsidR="00CB1961">
        <w:rPr>
          <w:sz w:val="20"/>
          <w:szCs w:val="20"/>
        </w:rPr>
        <w:t xml:space="preserve"> </w:t>
      </w:r>
    </w:p>
    <w:p w:rsidR="00A24933" w:rsidRDefault="00A24933" w:rsidP="00A24933">
      <w:pPr>
        <w:pStyle w:val="Default"/>
        <w:rPr>
          <w:sz w:val="20"/>
          <w:szCs w:val="20"/>
        </w:rPr>
      </w:pPr>
    </w:p>
    <w:p w:rsidR="00CB1961" w:rsidRDefault="00CB1961" w:rsidP="00A24933">
      <w:pPr>
        <w:pStyle w:val="Default"/>
        <w:rPr>
          <w:sz w:val="20"/>
          <w:szCs w:val="20"/>
        </w:rPr>
      </w:pPr>
      <w:r>
        <w:rPr>
          <w:sz w:val="20"/>
          <w:szCs w:val="20"/>
        </w:rPr>
        <w:t xml:space="preserve">The equation generated by this model is of the form: </w:t>
      </w:r>
    </w:p>
    <w:p w:rsidR="00890FF9" w:rsidRDefault="00CB1961" w:rsidP="00CB1961">
      <w:pPr>
        <w:rPr>
          <w:sz w:val="20"/>
          <w:szCs w:val="20"/>
        </w:rPr>
      </w:pPr>
      <w:proofErr w:type="gramStart"/>
      <w:r>
        <w:rPr>
          <w:sz w:val="20"/>
          <w:szCs w:val="20"/>
        </w:rPr>
        <w:t>Y(</w:t>
      </w:r>
      <w:proofErr w:type="gramEnd"/>
      <w:r>
        <w:rPr>
          <w:sz w:val="20"/>
          <w:szCs w:val="20"/>
        </w:rPr>
        <w:t>t) = -.0</w:t>
      </w:r>
      <w:r w:rsidR="00A24933">
        <w:rPr>
          <w:sz w:val="20"/>
          <w:szCs w:val="20"/>
        </w:rPr>
        <w:t>3515 +</w:t>
      </w:r>
      <w:r>
        <w:rPr>
          <w:sz w:val="20"/>
          <w:szCs w:val="20"/>
        </w:rPr>
        <w:t xml:space="preserve"> </w:t>
      </w:r>
      <w:r w:rsidR="00A24933">
        <w:rPr>
          <w:sz w:val="20"/>
          <w:szCs w:val="20"/>
        </w:rPr>
        <w:t>0.168</w:t>
      </w:r>
      <w:r>
        <w:rPr>
          <w:sz w:val="20"/>
          <w:szCs w:val="20"/>
        </w:rPr>
        <w:t>(</w:t>
      </w:r>
      <w:r>
        <w:rPr>
          <w:rFonts w:ascii="Cambria Math" w:hAnsi="Cambria Math" w:cs="Cambria Math"/>
          <w:sz w:val="20"/>
          <w:szCs w:val="20"/>
        </w:rPr>
        <w:t>𝑌</w:t>
      </w:r>
      <w:r>
        <w:rPr>
          <w:rFonts w:ascii="Cambria Math" w:hAnsi="Cambria Math" w:cs="Cambria Math"/>
          <w:sz w:val="14"/>
          <w:szCs w:val="14"/>
        </w:rPr>
        <w:t xml:space="preserve">𝑡−1 </w:t>
      </w:r>
      <w:r>
        <w:rPr>
          <w:sz w:val="20"/>
          <w:szCs w:val="20"/>
        </w:rPr>
        <w:t xml:space="preserve">– </w:t>
      </w:r>
      <w:r>
        <w:rPr>
          <w:rFonts w:ascii="Cambria Math" w:hAnsi="Cambria Math" w:cs="Cambria Math"/>
          <w:sz w:val="20"/>
          <w:szCs w:val="20"/>
        </w:rPr>
        <w:t>𝑌</w:t>
      </w:r>
      <w:r>
        <w:rPr>
          <w:rFonts w:ascii="Cambria Math" w:hAnsi="Cambria Math" w:cs="Cambria Math"/>
          <w:sz w:val="14"/>
          <w:szCs w:val="14"/>
        </w:rPr>
        <w:t>𝑡−2</w:t>
      </w:r>
      <w:r>
        <w:rPr>
          <w:sz w:val="20"/>
          <w:szCs w:val="20"/>
        </w:rPr>
        <w:t>) – .</w:t>
      </w:r>
      <w:r w:rsidR="00A24933">
        <w:rPr>
          <w:sz w:val="20"/>
          <w:szCs w:val="20"/>
        </w:rPr>
        <w:t>52897</w:t>
      </w:r>
      <w:r>
        <w:rPr>
          <w:sz w:val="20"/>
          <w:szCs w:val="20"/>
        </w:rPr>
        <w:t>(</w:t>
      </w:r>
      <w:r>
        <w:rPr>
          <w:rFonts w:ascii="Cambria Math" w:hAnsi="Cambria Math" w:cs="Cambria Math"/>
          <w:sz w:val="20"/>
          <w:szCs w:val="20"/>
        </w:rPr>
        <w:t>𝑌</w:t>
      </w:r>
      <w:r>
        <w:rPr>
          <w:rFonts w:ascii="Cambria Math" w:hAnsi="Cambria Math" w:cs="Cambria Math"/>
          <w:sz w:val="14"/>
          <w:szCs w:val="14"/>
        </w:rPr>
        <w:t xml:space="preserve">𝑡−2 </w:t>
      </w:r>
      <w:r>
        <w:rPr>
          <w:sz w:val="20"/>
          <w:szCs w:val="20"/>
        </w:rPr>
        <w:t xml:space="preserve">– </w:t>
      </w:r>
      <w:r>
        <w:rPr>
          <w:rFonts w:ascii="Cambria Math" w:hAnsi="Cambria Math" w:cs="Cambria Math"/>
          <w:sz w:val="20"/>
          <w:szCs w:val="20"/>
        </w:rPr>
        <w:t>𝑌</w:t>
      </w:r>
      <w:r>
        <w:rPr>
          <w:rFonts w:ascii="Cambria Math" w:hAnsi="Cambria Math" w:cs="Cambria Math"/>
          <w:sz w:val="14"/>
          <w:szCs w:val="14"/>
        </w:rPr>
        <w:t>𝑡−3</w:t>
      </w:r>
      <w:r>
        <w:rPr>
          <w:sz w:val="20"/>
          <w:szCs w:val="20"/>
        </w:rPr>
        <w:t>)</w:t>
      </w:r>
    </w:p>
    <w:p w:rsidR="00A24933" w:rsidRDefault="00A24933" w:rsidP="00CB1961">
      <w:pPr>
        <w:rPr>
          <w:sz w:val="20"/>
          <w:szCs w:val="20"/>
        </w:rPr>
      </w:pPr>
    </w:p>
    <w:p w:rsidR="00A24933" w:rsidRDefault="00A24933" w:rsidP="00CB1961">
      <w:pPr>
        <w:rPr>
          <w:sz w:val="20"/>
          <w:szCs w:val="20"/>
        </w:rPr>
      </w:pPr>
      <w:r>
        <w:rPr>
          <w:b/>
          <w:sz w:val="20"/>
          <w:szCs w:val="20"/>
        </w:rPr>
        <w:t>Conclusion</w:t>
      </w:r>
    </w:p>
    <w:p w:rsidR="00A24933" w:rsidRPr="00A24933" w:rsidRDefault="00A24933" w:rsidP="00CB1961">
      <w:r>
        <w:rPr>
          <w:sz w:val="20"/>
          <w:szCs w:val="20"/>
        </w:rPr>
        <w:t xml:space="preserve">The </w:t>
      </w:r>
      <w:proofErr w:type="gramStart"/>
      <w:r>
        <w:rPr>
          <w:sz w:val="20"/>
          <w:szCs w:val="20"/>
        </w:rPr>
        <w:t>ARI(</w:t>
      </w:r>
      <w:proofErr w:type="gramEnd"/>
      <w:r>
        <w:rPr>
          <w:sz w:val="20"/>
          <w:szCs w:val="20"/>
        </w:rPr>
        <w:t xml:space="preserve">2,2) model is the best fit, but only has about a 0.3 R squared value. This indicates that the model only accounts for about 30% of the regression. I believe that incorporating a moving average term to an </w:t>
      </w:r>
      <w:proofErr w:type="gramStart"/>
      <w:r>
        <w:rPr>
          <w:sz w:val="20"/>
          <w:szCs w:val="20"/>
        </w:rPr>
        <w:t>ARIMA(</w:t>
      </w:r>
      <w:proofErr w:type="gramEnd"/>
      <w:r>
        <w:rPr>
          <w:sz w:val="20"/>
          <w:szCs w:val="20"/>
        </w:rPr>
        <w:t>2,1,2) model would be the next step if we were to continue analyzing the data, which may account for the rest of the regression portion. The second difference was appropriate, as the F test significance decreased greatly with the second difference.</w:t>
      </w:r>
    </w:p>
    <w:sectPr w:rsidR="00A24933" w:rsidRPr="00A249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961"/>
    <w:rsid w:val="000D1A0F"/>
    <w:rsid w:val="007636B3"/>
    <w:rsid w:val="009428AC"/>
    <w:rsid w:val="00A01147"/>
    <w:rsid w:val="00A24933"/>
    <w:rsid w:val="00CB1961"/>
    <w:rsid w:val="00FF4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99899B-8913-4888-A729-B93D2A874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19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F4C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C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42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webSettings" Target="webSettings.xml"/><Relationship Id="rId7" Type="http://schemas.openxmlformats.org/officeDocument/2006/relationships/chart" Target="charts/chart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10" Type="http://schemas.openxmlformats.org/officeDocument/2006/relationships/theme" Target="theme/theme1.xml"/><Relationship Id="rId4" Type="http://schemas.openxmlformats.org/officeDocument/2006/relationships/chart" Target="charts/chart1.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mmons.woolwine\Desktop\HW\TS'\Time%20Series%20Projec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mmons.woolwine\Desktop\HW\TS'\Time%20Series%20Projec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emmons.woolwine\Desktop\HW\TS'\Time%20Series%20Projec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emmons.woolwine\Desktop\HW\TS'\Time%20Series%20Projec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6.4149254965176594E-2"/>
          <c:y val="0.17477698465261934"/>
          <c:w val="0.63297600595201187"/>
          <c:h val="0.59238141961226809"/>
        </c:manualLayout>
      </c:layout>
      <c:lineChart>
        <c:grouping val="stacked"/>
        <c:varyColors val="0"/>
        <c:ser>
          <c:idx val="0"/>
          <c:order val="0"/>
          <c:tx>
            <c:strRef>
              <c:f>Data!$F$6</c:f>
              <c:strCache>
                <c:ptCount val="1"/>
                <c:pt idx="0">
                  <c:v>Infant Mortality</c:v>
                </c:pt>
              </c:strCache>
            </c:strRef>
          </c:tx>
          <c:marker>
            <c:symbol val="none"/>
          </c:marker>
          <c:cat>
            <c:numRef>
              <c:f>Data!$D$7:$D$84</c:f>
              <c:numCache>
                <c:formatCode>m/d/yyyy</c:formatCode>
                <c:ptCount val="78"/>
                <c:pt idx="0">
                  <c:v>39828</c:v>
                </c:pt>
                <c:pt idx="1">
                  <c:v>39859</c:v>
                </c:pt>
                <c:pt idx="2">
                  <c:v>39887</c:v>
                </c:pt>
                <c:pt idx="3">
                  <c:v>39918</c:v>
                </c:pt>
                <c:pt idx="4">
                  <c:v>39948</c:v>
                </c:pt>
                <c:pt idx="5">
                  <c:v>39979</c:v>
                </c:pt>
                <c:pt idx="6">
                  <c:v>40009</c:v>
                </c:pt>
                <c:pt idx="7">
                  <c:v>40040</c:v>
                </c:pt>
                <c:pt idx="8">
                  <c:v>40071</c:v>
                </c:pt>
                <c:pt idx="9">
                  <c:v>40101</c:v>
                </c:pt>
                <c:pt idx="10">
                  <c:v>40132</c:v>
                </c:pt>
                <c:pt idx="11">
                  <c:v>40162</c:v>
                </c:pt>
                <c:pt idx="12">
                  <c:v>40193</c:v>
                </c:pt>
                <c:pt idx="13">
                  <c:v>40224</c:v>
                </c:pt>
                <c:pt idx="14">
                  <c:v>40252</c:v>
                </c:pt>
                <c:pt idx="15">
                  <c:v>40283</c:v>
                </c:pt>
                <c:pt idx="16">
                  <c:v>40313</c:v>
                </c:pt>
                <c:pt idx="17">
                  <c:v>40344</c:v>
                </c:pt>
                <c:pt idx="18">
                  <c:v>40374</c:v>
                </c:pt>
                <c:pt idx="19">
                  <c:v>40405</c:v>
                </c:pt>
                <c:pt idx="20">
                  <c:v>40436</c:v>
                </c:pt>
                <c:pt idx="21">
                  <c:v>40466</c:v>
                </c:pt>
                <c:pt idx="22">
                  <c:v>40497</c:v>
                </c:pt>
                <c:pt idx="23">
                  <c:v>40527</c:v>
                </c:pt>
                <c:pt idx="24">
                  <c:v>40558</c:v>
                </c:pt>
                <c:pt idx="25">
                  <c:v>40589</c:v>
                </c:pt>
                <c:pt idx="26">
                  <c:v>40617</c:v>
                </c:pt>
                <c:pt idx="27">
                  <c:v>40648</c:v>
                </c:pt>
                <c:pt idx="28">
                  <c:v>40678</c:v>
                </c:pt>
                <c:pt idx="29">
                  <c:v>40709</c:v>
                </c:pt>
                <c:pt idx="30">
                  <c:v>40739</c:v>
                </c:pt>
                <c:pt idx="31">
                  <c:v>40770</c:v>
                </c:pt>
                <c:pt idx="32">
                  <c:v>40801</c:v>
                </c:pt>
                <c:pt idx="33">
                  <c:v>40831</c:v>
                </c:pt>
                <c:pt idx="34">
                  <c:v>40862</c:v>
                </c:pt>
                <c:pt idx="35">
                  <c:v>40892</c:v>
                </c:pt>
                <c:pt idx="36">
                  <c:v>40923</c:v>
                </c:pt>
                <c:pt idx="37">
                  <c:v>40954</c:v>
                </c:pt>
                <c:pt idx="38">
                  <c:v>40982</c:v>
                </c:pt>
                <c:pt idx="39">
                  <c:v>41013</c:v>
                </c:pt>
                <c:pt idx="40">
                  <c:v>41043</c:v>
                </c:pt>
                <c:pt idx="41">
                  <c:v>41074</c:v>
                </c:pt>
                <c:pt idx="42">
                  <c:v>41104</c:v>
                </c:pt>
                <c:pt idx="43">
                  <c:v>41135</c:v>
                </c:pt>
                <c:pt idx="44">
                  <c:v>41166</c:v>
                </c:pt>
                <c:pt idx="45">
                  <c:v>41196</c:v>
                </c:pt>
                <c:pt idx="46">
                  <c:v>41227</c:v>
                </c:pt>
                <c:pt idx="47">
                  <c:v>41257</c:v>
                </c:pt>
                <c:pt idx="48">
                  <c:v>41288</c:v>
                </c:pt>
                <c:pt idx="49">
                  <c:v>41319</c:v>
                </c:pt>
                <c:pt idx="50">
                  <c:v>41347</c:v>
                </c:pt>
                <c:pt idx="51">
                  <c:v>41378</c:v>
                </c:pt>
                <c:pt idx="52">
                  <c:v>41408</c:v>
                </c:pt>
                <c:pt idx="53">
                  <c:v>41439</c:v>
                </c:pt>
                <c:pt idx="54">
                  <c:v>41469</c:v>
                </c:pt>
                <c:pt idx="55">
                  <c:v>41500</c:v>
                </c:pt>
                <c:pt idx="56">
                  <c:v>41531</c:v>
                </c:pt>
                <c:pt idx="57">
                  <c:v>41561</c:v>
                </c:pt>
                <c:pt idx="58">
                  <c:v>41592</c:v>
                </c:pt>
                <c:pt idx="59">
                  <c:v>41622</c:v>
                </c:pt>
                <c:pt idx="60">
                  <c:v>41653</c:v>
                </c:pt>
                <c:pt idx="61">
                  <c:v>41684</c:v>
                </c:pt>
                <c:pt idx="62">
                  <c:v>41712</c:v>
                </c:pt>
                <c:pt idx="63">
                  <c:v>41743</c:v>
                </c:pt>
                <c:pt idx="64">
                  <c:v>41773</c:v>
                </c:pt>
                <c:pt idx="65">
                  <c:v>41804</c:v>
                </c:pt>
                <c:pt idx="66">
                  <c:v>41834</c:v>
                </c:pt>
                <c:pt idx="67">
                  <c:v>41865</c:v>
                </c:pt>
                <c:pt idx="68">
                  <c:v>41896</c:v>
                </c:pt>
                <c:pt idx="69">
                  <c:v>41926</c:v>
                </c:pt>
                <c:pt idx="70">
                  <c:v>41957</c:v>
                </c:pt>
                <c:pt idx="71">
                  <c:v>41987</c:v>
                </c:pt>
                <c:pt idx="72">
                  <c:v>42018</c:v>
                </c:pt>
                <c:pt idx="73">
                  <c:v>42049</c:v>
                </c:pt>
                <c:pt idx="74">
                  <c:v>42077</c:v>
                </c:pt>
                <c:pt idx="75">
                  <c:v>42108</c:v>
                </c:pt>
                <c:pt idx="76">
                  <c:v>42138</c:v>
                </c:pt>
                <c:pt idx="77">
                  <c:v>42169</c:v>
                </c:pt>
              </c:numCache>
            </c:numRef>
          </c:cat>
          <c:val>
            <c:numRef>
              <c:f>Data!$F$7:$F$84</c:f>
              <c:numCache>
                <c:formatCode>General</c:formatCode>
                <c:ptCount val="78"/>
                <c:pt idx="0">
                  <c:v>6.6</c:v>
                </c:pt>
                <c:pt idx="1">
                  <c:v>6.5</c:v>
                </c:pt>
                <c:pt idx="2">
                  <c:v>6.7</c:v>
                </c:pt>
                <c:pt idx="3">
                  <c:v>6.9</c:v>
                </c:pt>
                <c:pt idx="4">
                  <c:v>6.5</c:v>
                </c:pt>
                <c:pt idx="5">
                  <c:v>6.3</c:v>
                </c:pt>
                <c:pt idx="6">
                  <c:v>5.9</c:v>
                </c:pt>
                <c:pt idx="7">
                  <c:v>6.4</c:v>
                </c:pt>
                <c:pt idx="8">
                  <c:v>5.9</c:v>
                </c:pt>
                <c:pt idx="9">
                  <c:v>6.3</c:v>
                </c:pt>
                <c:pt idx="10">
                  <c:v>6.1</c:v>
                </c:pt>
                <c:pt idx="11">
                  <c:v>5.9</c:v>
                </c:pt>
                <c:pt idx="12">
                  <c:v>6.6</c:v>
                </c:pt>
                <c:pt idx="13">
                  <c:v>6.3</c:v>
                </c:pt>
                <c:pt idx="14">
                  <c:v>6</c:v>
                </c:pt>
                <c:pt idx="15">
                  <c:v>6.4</c:v>
                </c:pt>
                <c:pt idx="16">
                  <c:v>6.4</c:v>
                </c:pt>
                <c:pt idx="17">
                  <c:v>5.9</c:v>
                </c:pt>
                <c:pt idx="18">
                  <c:v>5.9</c:v>
                </c:pt>
                <c:pt idx="19">
                  <c:v>6</c:v>
                </c:pt>
                <c:pt idx="20">
                  <c:v>5.9</c:v>
                </c:pt>
                <c:pt idx="21">
                  <c:v>6.1</c:v>
                </c:pt>
                <c:pt idx="22">
                  <c:v>6</c:v>
                </c:pt>
                <c:pt idx="23">
                  <c:v>5.7</c:v>
                </c:pt>
                <c:pt idx="24">
                  <c:v>5.9</c:v>
                </c:pt>
                <c:pt idx="25">
                  <c:v>6.2</c:v>
                </c:pt>
                <c:pt idx="26">
                  <c:v>6.1</c:v>
                </c:pt>
                <c:pt idx="27">
                  <c:v>6.2</c:v>
                </c:pt>
                <c:pt idx="28">
                  <c:v>6</c:v>
                </c:pt>
                <c:pt idx="29">
                  <c:v>6.1</c:v>
                </c:pt>
                <c:pt idx="30">
                  <c:v>5.9</c:v>
                </c:pt>
                <c:pt idx="31">
                  <c:v>6.1</c:v>
                </c:pt>
                <c:pt idx="32">
                  <c:v>6</c:v>
                </c:pt>
                <c:pt idx="33">
                  <c:v>6.2</c:v>
                </c:pt>
                <c:pt idx="34">
                  <c:v>5.9</c:v>
                </c:pt>
                <c:pt idx="35">
                  <c:v>5.5</c:v>
                </c:pt>
                <c:pt idx="36">
                  <c:v>5.7</c:v>
                </c:pt>
                <c:pt idx="37">
                  <c:v>6.2</c:v>
                </c:pt>
                <c:pt idx="38">
                  <c:v>5.9</c:v>
                </c:pt>
                <c:pt idx="39">
                  <c:v>6.1</c:v>
                </c:pt>
                <c:pt idx="40">
                  <c:v>6.1</c:v>
                </c:pt>
                <c:pt idx="41">
                  <c:v>5.8</c:v>
                </c:pt>
                <c:pt idx="42">
                  <c:v>5.8</c:v>
                </c:pt>
                <c:pt idx="43">
                  <c:v>5.9</c:v>
                </c:pt>
                <c:pt idx="44">
                  <c:v>6</c:v>
                </c:pt>
                <c:pt idx="45">
                  <c:v>6</c:v>
                </c:pt>
                <c:pt idx="46">
                  <c:v>5.7</c:v>
                </c:pt>
                <c:pt idx="47">
                  <c:v>5.5</c:v>
                </c:pt>
                <c:pt idx="48">
                  <c:v>5.9</c:v>
                </c:pt>
                <c:pt idx="49">
                  <c:v>6</c:v>
                </c:pt>
                <c:pt idx="50">
                  <c:v>5.9</c:v>
                </c:pt>
                <c:pt idx="51">
                  <c:v>5.8</c:v>
                </c:pt>
                <c:pt idx="52">
                  <c:v>5.9</c:v>
                </c:pt>
                <c:pt idx="53">
                  <c:v>5.9</c:v>
                </c:pt>
                <c:pt idx="54">
                  <c:v>5.8</c:v>
                </c:pt>
                <c:pt idx="55">
                  <c:v>5.9</c:v>
                </c:pt>
                <c:pt idx="56">
                  <c:v>6</c:v>
                </c:pt>
                <c:pt idx="57">
                  <c:v>6</c:v>
                </c:pt>
                <c:pt idx="58">
                  <c:v>5.4</c:v>
                </c:pt>
                <c:pt idx="59">
                  <c:v>5.4</c:v>
                </c:pt>
                <c:pt idx="60">
                  <c:v>5.8</c:v>
                </c:pt>
                <c:pt idx="61">
                  <c:v>5.9</c:v>
                </c:pt>
                <c:pt idx="62">
                  <c:v>5.8</c:v>
                </c:pt>
                <c:pt idx="63">
                  <c:v>6</c:v>
                </c:pt>
                <c:pt idx="64">
                  <c:v>6</c:v>
                </c:pt>
                <c:pt idx="65">
                  <c:v>5.8</c:v>
                </c:pt>
                <c:pt idx="66">
                  <c:v>5.8</c:v>
                </c:pt>
                <c:pt idx="67">
                  <c:v>5.7</c:v>
                </c:pt>
                <c:pt idx="68">
                  <c:v>5.7</c:v>
                </c:pt>
                <c:pt idx="69">
                  <c:v>5.7</c:v>
                </c:pt>
                <c:pt idx="70">
                  <c:v>5.5</c:v>
                </c:pt>
                <c:pt idx="71">
                  <c:v>5.4</c:v>
                </c:pt>
                <c:pt idx="72">
                  <c:v>5.8</c:v>
                </c:pt>
                <c:pt idx="73">
                  <c:v>5.7</c:v>
                </c:pt>
                <c:pt idx="74">
                  <c:v>5.7</c:v>
                </c:pt>
                <c:pt idx="75">
                  <c:v>5.7</c:v>
                </c:pt>
                <c:pt idx="76">
                  <c:v>5.6</c:v>
                </c:pt>
                <c:pt idx="77">
                  <c:v>5.8</c:v>
                </c:pt>
              </c:numCache>
            </c:numRef>
          </c:val>
          <c:smooth val="0"/>
        </c:ser>
        <c:dLbls>
          <c:showLegendKey val="0"/>
          <c:showVal val="0"/>
          <c:showCatName val="0"/>
          <c:showSerName val="0"/>
          <c:showPercent val="0"/>
          <c:showBubbleSize val="0"/>
        </c:dLbls>
        <c:smooth val="0"/>
        <c:axId val="274373856"/>
        <c:axId val="274373296"/>
      </c:lineChart>
      <c:dateAx>
        <c:axId val="274373856"/>
        <c:scaling>
          <c:orientation val="minMax"/>
        </c:scaling>
        <c:delete val="0"/>
        <c:axPos val="b"/>
        <c:numFmt formatCode="m/d/yyyy" sourceLinked="1"/>
        <c:majorTickMark val="out"/>
        <c:minorTickMark val="none"/>
        <c:tickLblPos val="nextTo"/>
        <c:crossAx val="274373296"/>
        <c:crosses val="autoZero"/>
        <c:auto val="1"/>
        <c:lblOffset val="100"/>
        <c:baseTimeUnit val="months"/>
        <c:majorUnit val="3"/>
        <c:majorTimeUnit val="months"/>
        <c:minorUnit val="1"/>
        <c:minorTimeUnit val="months"/>
      </c:dateAx>
      <c:valAx>
        <c:axId val="274373296"/>
        <c:scaling>
          <c:orientation val="minMax"/>
          <c:max val="7"/>
          <c:min val="5"/>
        </c:scaling>
        <c:delete val="0"/>
        <c:axPos val="l"/>
        <c:majorGridlines/>
        <c:numFmt formatCode="General" sourceLinked="1"/>
        <c:majorTickMark val="out"/>
        <c:minorTickMark val="none"/>
        <c:tickLblPos val="nextTo"/>
        <c:crossAx val="274373856"/>
        <c:crosses val="autoZero"/>
        <c:crossBetween val="between"/>
      </c:valAx>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Sample</a:t>
            </a:r>
            <a:r>
              <a:rPr lang="en-US" baseline="0"/>
              <a:t> ACF - Raw Data</a:t>
            </a:r>
            <a:endParaRPr lang="en-US"/>
          </a:p>
        </c:rich>
      </c:tx>
      <c:overlay val="0"/>
    </c:title>
    <c:autoTitleDeleted val="0"/>
    <c:plotArea>
      <c:layout/>
      <c:lineChart>
        <c:grouping val="stacked"/>
        <c:varyColors val="0"/>
        <c:ser>
          <c:idx val="0"/>
          <c:order val="0"/>
          <c:marker>
            <c:symbol val="none"/>
          </c:marker>
          <c:val>
            <c:numRef>
              <c:f>Data!$K$8:$K$83</c:f>
              <c:numCache>
                <c:formatCode>General</c:formatCode>
                <c:ptCount val="76"/>
                <c:pt idx="0">
                  <c:v>0.63497439572320857</c:v>
                </c:pt>
                <c:pt idx="1">
                  <c:v>0.46328496028942501</c:v>
                </c:pt>
                <c:pt idx="2">
                  <c:v>0.48732228074141692</c:v>
                </c:pt>
                <c:pt idx="3">
                  <c:v>0.42360577946464145</c:v>
                </c:pt>
                <c:pt idx="4">
                  <c:v>0.38541835318777956</c:v>
                </c:pt>
                <c:pt idx="5">
                  <c:v>0.4092282789893682</c:v>
                </c:pt>
                <c:pt idx="6">
                  <c:v>0.36474633284742403</c:v>
                </c:pt>
                <c:pt idx="7">
                  <c:v>0.33156473780137719</c:v>
                </c:pt>
                <c:pt idx="8">
                  <c:v>0.41953499242178066</c:v>
                </c:pt>
                <c:pt idx="9">
                  <c:v>0.35513794971742069</c:v>
                </c:pt>
                <c:pt idx="10">
                  <c:v>0.51979451328568727</c:v>
                </c:pt>
                <c:pt idx="11">
                  <c:v>0.75597949563824629</c:v>
                </c:pt>
                <c:pt idx="12">
                  <c:v>0.53179935100149089</c:v>
                </c:pt>
                <c:pt idx="13">
                  <c:v>0.27917319612496916</c:v>
                </c:pt>
                <c:pt idx="14">
                  <c:v>0.36576436129848572</c:v>
                </c:pt>
                <c:pt idx="15">
                  <c:v>0.35611791721627434</c:v>
                </c:pt>
                <c:pt idx="16">
                  <c:v>0.36250987856773004</c:v>
                </c:pt>
                <c:pt idx="17">
                  <c:v>0.36971358013808286</c:v>
                </c:pt>
                <c:pt idx="18">
                  <c:v>0.21040442113782748</c:v>
                </c:pt>
                <c:pt idx="19">
                  <c:v>0.1473683697555572</c:v>
                </c:pt>
                <c:pt idx="20">
                  <c:v>0.20058219386493595</c:v>
                </c:pt>
                <c:pt idx="21">
                  <c:v>0.27612636857220829</c:v>
                </c:pt>
                <c:pt idx="22">
                  <c:v>0.42398686316229617</c:v>
                </c:pt>
                <c:pt idx="23">
                  <c:v>0.7101337189235315</c:v>
                </c:pt>
                <c:pt idx="24">
                  <c:v>0.43359184298742875</c:v>
                </c:pt>
                <c:pt idx="25">
                  <c:v>0.27852789564735431</c:v>
                </c:pt>
                <c:pt idx="26">
                  <c:v>0.3765646010436553</c:v>
                </c:pt>
                <c:pt idx="27">
                  <c:v>0.38130979952309835</c:v>
                </c:pt>
                <c:pt idx="28">
                  <c:v>0.37136874728345776</c:v>
                </c:pt>
                <c:pt idx="29">
                  <c:v>0.38725605637390792</c:v>
                </c:pt>
                <c:pt idx="30">
                  <c:v>0.13055984636431836</c:v>
                </c:pt>
                <c:pt idx="31">
                  <c:v>9.7509530103946099E-2</c:v>
                </c:pt>
                <c:pt idx="32">
                  <c:v>0.13841045315214803</c:v>
                </c:pt>
                <c:pt idx="33">
                  <c:v>0.12512549052087202</c:v>
                </c:pt>
                <c:pt idx="34">
                  <c:v>0.34245605275793128</c:v>
                </c:pt>
                <c:pt idx="35">
                  <c:v>0.5190271927700485</c:v>
                </c:pt>
                <c:pt idx="36">
                  <c:v>0.39558825617864923</c:v>
                </c:pt>
                <c:pt idx="37">
                  <c:v>0.23748109939954087</c:v>
                </c:pt>
                <c:pt idx="38">
                  <c:v>0.26862298205612489</c:v>
                </c:pt>
                <c:pt idx="39">
                  <c:v>0.32168643430312721</c:v>
                </c:pt>
                <c:pt idx="40">
                  <c:v>0.40379661481942686</c:v>
                </c:pt>
                <c:pt idx="41">
                  <c:v>0.15569463407690345</c:v>
                </c:pt>
                <c:pt idx="42">
                  <c:v>-4.6905954030873956E-2</c:v>
                </c:pt>
                <c:pt idx="43">
                  <c:v>8.7365170581788203E-4</c:v>
                </c:pt>
                <c:pt idx="44">
                  <c:v>0.11888436535376418</c:v>
                </c:pt>
                <c:pt idx="45">
                  <c:v>-3.3957081551751325E-2</c:v>
                </c:pt>
                <c:pt idx="46">
                  <c:v>0.19579885522878368</c:v>
                </c:pt>
                <c:pt idx="47">
                  <c:v>0.52153480526313745</c:v>
                </c:pt>
                <c:pt idx="48">
                  <c:v>0.28568852582172743</c:v>
                </c:pt>
                <c:pt idx="49">
                  <c:v>0.34280226012741122</c:v>
                </c:pt>
                <c:pt idx="50">
                  <c:v>0.36797638575419617</c:v>
                </c:pt>
                <c:pt idx="51">
                  <c:v>0.42185151433555884</c:v>
                </c:pt>
                <c:pt idx="52">
                  <c:v>0.44214622515968577</c:v>
                </c:pt>
                <c:pt idx="53">
                  <c:v>0.22463475163975274</c:v>
                </c:pt>
                <c:pt idx="54">
                  <c:v>-0.23001597072882887</c:v>
                </c:pt>
                <c:pt idx="55">
                  <c:v>-0.14780709247618301</c:v>
                </c:pt>
                <c:pt idx="56">
                  <c:v>-7.4512911529269095E-3</c:v>
                </c:pt>
                <c:pt idx="57">
                  <c:v>-0.18704530418226889</c:v>
                </c:pt>
                <c:pt idx="58">
                  <c:v>0.10251892492343519</c:v>
                </c:pt>
                <c:pt idx="59">
                  <c:v>0.5663804903840256</c:v>
                </c:pt>
                <c:pt idx="60">
                  <c:v>0.54134713786135902</c:v>
                </c:pt>
                <c:pt idx="61">
                  <c:v>0.53258080258598339</c:v>
                </c:pt>
                <c:pt idx="62">
                  <c:v>0.44402096847459943</c:v>
                </c:pt>
                <c:pt idx="63">
                  <c:v>0.21332819726484942</c:v>
                </c:pt>
                <c:pt idx="64">
                  <c:v>0.54962696030052627</c:v>
                </c:pt>
                <c:pt idx="65">
                  <c:v>-0.13549738378092202</c:v>
                </c:pt>
                <c:pt idx="66">
                  <c:v>-0.44772058307404994</c:v>
                </c:pt>
                <c:pt idx="67">
                  <c:v>-0.43958698226385812</c:v>
                </c:pt>
                <c:pt idx="68">
                  <c:v>-0.29359047975777575</c:v>
                </c:pt>
                <c:pt idx="69">
                  <c:v>0.13631963531820074</c:v>
                </c:pt>
                <c:pt idx="70">
                  <c:v>-0.27626151113611597</c:v>
                </c:pt>
                <c:pt idx="71">
                  <c:v>-0.23862350360052048</c:v>
                </c:pt>
                <c:pt idx="72">
                  <c:v>-0.84515425472851735</c:v>
                </c:pt>
                <c:pt idx="73">
                  <c:v>0.47809144373375456</c:v>
                </c:pt>
                <c:pt idx="74">
                  <c:v>0.99999999999999989</c:v>
                </c:pt>
                <c:pt idx="75">
                  <c:v>-1</c:v>
                </c:pt>
              </c:numCache>
            </c:numRef>
          </c:val>
          <c:smooth val="0"/>
        </c:ser>
        <c:dLbls>
          <c:showLegendKey val="0"/>
          <c:showVal val="0"/>
          <c:showCatName val="0"/>
          <c:showSerName val="0"/>
          <c:showPercent val="0"/>
          <c:showBubbleSize val="0"/>
        </c:dLbls>
        <c:smooth val="0"/>
        <c:axId val="296494960"/>
        <c:axId val="296494400"/>
      </c:lineChart>
      <c:catAx>
        <c:axId val="296494960"/>
        <c:scaling>
          <c:orientation val="minMax"/>
        </c:scaling>
        <c:delete val="0"/>
        <c:axPos val="b"/>
        <c:majorTickMark val="out"/>
        <c:minorTickMark val="none"/>
        <c:tickLblPos val="nextTo"/>
        <c:crossAx val="296494400"/>
        <c:crosses val="autoZero"/>
        <c:auto val="1"/>
        <c:lblAlgn val="ctr"/>
        <c:lblOffset val="100"/>
        <c:noMultiLvlLbl val="0"/>
      </c:catAx>
      <c:valAx>
        <c:axId val="296494400"/>
        <c:scaling>
          <c:orientation val="minMax"/>
        </c:scaling>
        <c:delete val="0"/>
        <c:axPos val="l"/>
        <c:majorGridlines/>
        <c:numFmt formatCode="General" sourceLinked="1"/>
        <c:majorTickMark val="out"/>
        <c:minorTickMark val="none"/>
        <c:tickLblPos val="nextTo"/>
        <c:crossAx val="296494960"/>
        <c:crosses val="autoZero"/>
        <c:crossBetween val="between"/>
      </c:valAx>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Sample ACF-</a:t>
            </a:r>
            <a:r>
              <a:rPr lang="en-US" baseline="0"/>
              <a:t> </a:t>
            </a:r>
            <a:r>
              <a:rPr lang="en-US"/>
              <a:t>First Difference</a:t>
            </a:r>
          </a:p>
        </c:rich>
      </c:tx>
      <c:overlay val="0"/>
    </c:title>
    <c:autoTitleDeleted val="0"/>
    <c:plotArea>
      <c:layout/>
      <c:lineChart>
        <c:grouping val="stacked"/>
        <c:varyColors val="0"/>
        <c:ser>
          <c:idx val="0"/>
          <c:order val="0"/>
          <c:tx>
            <c:strRef>
              <c:f>Data!$L$6</c:f>
              <c:strCache>
                <c:ptCount val="1"/>
                <c:pt idx="0">
                  <c:v>Sample ACF First Difference</c:v>
                </c:pt>
              </c:strCache>
            </c:strRef>
          </c:tx>
          <c:marker>
            <c:symbol val="none"/>
          </c:marker>
          <c:val>
            <c:numRef>
              <c:f>Data!$L$7:$L$82</c:f>
              <c:numCache>
                <c:formatCode>General</c:formatCode>
                <c:ptCount val="76"/>
                <c:pt idx="2">
                  <c:v>-0.2852391002833885</c:v>
                </c:pt>
                <c:pt idx="3">
                  <c:v>-0.28080688723835268</c:v>
                </c:pt>
                <c:pt idx="4">
                  <c:v>0.10105844710995798</c:v>
                </c:pt>
                <c:pt idx="5">
                  <c:v>-1.6945912268013671E-2</c:v>
                </c:pt>
                <c:pt idx="6">
                  <c:v>-5.3179856883796527E-2</c:v>
                </c:pt>
                <c:pt idx="7">
                  <c:v>0.12536280263250851</c:v>
                </c:pt>
                <c:pt idx="8">
                  <c:v>-7.6296863928767028E-2</c:v>
                </c:pt>
                <c:pt idx="9">
                  <c:v>-7.7038667240252337E-2</c:v>
                </c:pt>
                <c:pt idx="10">
                  <c:v>0.12334566995298786</c:v>
                </c:pt>
                <c:pt idx="11">
                  <c:v>-0.23251470036415925</c:v>
                </c:pt>
                <c:pt idx="12">
                  <c:v>-4.986625940087086E-2</c:v>
                </c:pt>
                <c:pt idx="13">
                  <c:v>0.48064342794078635</c:v>
                </c:pt>
                <c:pt idx="14">
                  <c:v>2.3184903336412072E-2</c:v>
                </c:pt>
                <c:pt idx="15">
                  <c:v>-0.34245197125931504</c:v>
                </c:pt>
                <c:pt idx="16">
                  <c:v>5.7696758948824228E-2</c:v>
                </c:pt>
                <c:pt idx="17">
                  <c:v>-1.6241680121640335E-2</c:v>
                </c:pt>
                <c:pt idx="18">
                  <c:v>6.2477070473108243E-2</c:v>
                </c:pt>
                <c:pt idx="19">
                  <c:v>0.17961783324783387</c:v>
                </c:pt>
                <c:pt idx="20">
                  <c:v>-0.12678521952388688</c:v>
                </c:pt>
                <c:pt idx="21">
                  <c:v>-0.10270088558783604</c:v>
                </c:pt>
                <c:pt idx="22">
                  <c:v>-5.5873064703521443E-2</c:v>
                </c:pt>
                <c:pt idx="23">
                  <c:v>-5.9086840605499819E-2</c:v>
                </c:pt>
                <c:pt idx="24">
                  <c:v>-8.5385259746429715E-2</c:v>
                </c:pt>
                <c:pt idx="25">
                  <c:v>0.54971766082345919</c:v>
                </c:pt>
                <c:pt idx="26">
                  <c:v>-0.17878279448177875</c:v>
                </c:pt>
                <c:pt idx="27">
                  <c:v>-0.25092645141142128</c:v>
                </c:pt>
                <c:pt idx="28">
                  <c:v>8.3764697322444653E-2</c:v>
                </c:pt>
                <c:pt idx="29">
                  <c:v>4.0675203199048382E-2</c:v>
                </c:pt>
                <c:pt idx="30">
                  <c:v>-3.9743774497516357E-2</c:v>
                </c:pt>
                <c:pt idx="31">
                  <c:v>0.30067342790677265</c:v>
                </c:pt>
                <c:pt idx="32">
                  <c:v>-0.26429650765897583</c:v>
                </c:pt>
                <c:pt idx="33">
                  <c:v>-5.2646962234763728E-2</c:v>
                </c:pt>
                <c:pt idx="34">
                  <c:v>1.6610264925668517E-2</c:v>
                </c:pt>
                <c:pt idx="35">
                  <c:v>-0.15715498717699455</c:v>
                </c:pt>
                <c:pt idx="36">
                  <c:v>0.13810889776031909</c:v>
                </c:pt>
                <c:pt idx="37">
                  <c:v>0.22693612188224913</c:v>
                </c:pt>
                <c:pt idx="38">
                  <c:v>-6.848806224913731E-2</c:v>
                </c:pt>
                <c:pt idx="39">
                  <c:v>-0.13713942904221479</c:v>
                </c:pt>
                <c:pt idx="40">
                  <c:v>-5.3755643450861076E-2</c:v>
                </c:pt>
                <c:pt idx="41">
                  <c:v>-2.5079442166329225E-2</c:v>
                </c:pt>
                <c:pt idx="42">
                  <c:v>0.38607042310143935</c:v>
                </c:pt>
                <c:pt idx="43">
                  <c:v>-5.6365444451472485E-2</c:v>
                </c:pt>
                <c:pt idx="44">
                  <c:v>-0.26459489167795147</c:v>
                </c:pt>
                <c:pt idx="45">
                  <c:v>-8.7217137742476428E-2</c:v>
                </c:pt>
                <c:pt idx="46">
                  <c:v>0.24167071400043111</c:v>
                </c:pt>
                <c:pt idx="47">
                  <c:v>-0.27472212741183488</c:v>
                </c:pt>
                <c:pt idx="48">
                  <c:v>-7.5172364285397662E-3</c:v>
                </c:pt>
                <c:pt idx="49">
                  <c:v>0.4128899743217358</c:v>
                </c:pt>
                <c:pt idx="50">
                  <c:v>-0.29369101926509439</c:v>
                </c:pt>
                <c:pt idx="51">
                  <c:v>4.3824837626636401E-2</c:v>
                </c:pt>
                <c:pt idx="52">
                  <c:v>-9.1243909122252837E-16</c:v>
                </c:pt>
                <c:pt idx="53">
                  <c:v>5.4519867752121573E-3</c:v>
                </c:pt>
                <c:pt idx="54">
                  <c:v>0.23000828838526802</c:v>
                </c:pt>
                <c:pt idx="55">
                  <c:v>0.22232432294997254</c:v>
                </c:pt>
                <c:pt idx="56">
                  <c:v>-0.51777534361868449</c:v>
                </c:pt>
                <c:pt idx="57">
                  <c:v>-7.260667550323685E-2</c:v>
                </c:pt>
                <c:pt idx="58">
                  <c:v>0.26151019841546919</c:v>
                </c:pt>
                <c:pt idx="59">
                  <c:v>-0.25299841009834134</c:v>
                </c:pt>
                <c:pt idx="60">
                  <c:v>-4.072224065772017E-2</c:v>
                </c:pt>
                <c:pt idx="61">
                  <c:v>0.29257279370907241</c:v>
                </c:pt>
                <c:pt idx="62">
                  <c:v>-9.4120201622252514E-2</c:v>
                </c:pt>
                <c:pt idx="63">
                  <c:v>8.2140616352775947E-2</c:v>
                </c:pt>
                <c:pt idx="64">
                  <c:v>0.11987288974831746</c:v>
                </c:pt>
                <c:pt idx="65">
                  <c:v>-0.46102247651458483</c:v>
                </c:pt>
                <c:pt idx="66">
                  <c:v>0.68527391613577016</c:v>
                </c:pt>
                <c:pt idx="67">
                  <c:v>-0.21189138534558902</c:v>
                </c:pt>
                <c:pt idx="68">
                  <c:v>-0.20904772187386578</c:v>
                </c:pt>
                <c:pt idx="69">
                  <c:v>-0.12258179317513464</c:v>
                </c:pt>
                <c:pt idx="70">
                  <c:v>-4.3480536190836132E-2</c:v>
                </c:pt>
                <c:pt idx="71">
                  <c:v>0.56292625175264444</c:v>
                </c:pt>
                <c:pt idx="72">
                  <c:v>-0.27480684432002361</c:v>
                </c:pt>
                <c:pt idx="73">
                  <c:v>7.8278036385644428E-2</c:v>
                </c:pt>
                <c:pt idx="74">
                  <c:v>-0.89922880302589714</c:v>
                </c:pt>
                <c:pt idx="75">
                  <c:v>0.18898223650461257</c:v>
                </c:pt>
              </c:numCache>
            </c:numRef>
          </c:val>
          <c:smooth val="0"/>
        </c:ser>
        <c:dLbls>
          <c:showLegendKey val="0"/>
          <c:showVal val="0"/>
          <c:showCatName val="0"/>
          <c:showSerName val="0"/>
          <c:showPercent val="0"/>
          <c:showBubbleSize val="0"/>
        </c:dLbls>
        <c:smooth val="0"/>
        <c:axId val="205112320"/>
        <c:axId val="205111200"/>
      </c:lineChart>
      <c:catAx>
        <c:axId val="205112320"/>
        <c:scaling>
          <c:orientation val="minMax"/>
        </c:scaling>
        <c:delete val="0"/>
        <c:axPos val="b"/>
        <c:majorTickMark val="out"/>
        <c:minorTickMark val="none"/>
        <c:tickLblPos val="nextTo"/>
        <c:crossAx val="205111200"/>
        <c:crosses val="autoZero"/>
        <c:auto val="1"/>
        <c:lblAlgn val="ctr"/>
        <c:lblOffset val="100"/>
        <c:noMultiLvlLbl val="0"/>
      </c:catAx>
      <c:valAx>
        <c:axId val="205111200"/>
        <c:scaling>
          <c:orientation val="minMax"/>
        </c:scaling>
        <c:delete val="0"/>
        <c:axPos val="l"/>
        <c:majorGridlines/>
        <c:numFmt formatCode="General" sourceLinked="1"/>
        <c:majorTickMark val="out"/>
        <c:minorTickMark val="none"/>
        <c:tickLblPos val="nextTo"/>
        <c:crossAx val="205112320"/>
        <c:crosses val="autoZero"/>
        <c:crossBetween val="between"/>
      </c:valAx>
    </c:plotArea>
    <c:legend>
      <c:legendPos val="r"/>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Sample ACF - Second Difference</a:t>
            </a:r>
          </a:p>
        </c:rich>
      </c:tx>
      <c:overlay val="0"/>
    </c:title>
    <c:autoTitleDeleted val="0"/>
    <c:plotArea>
      <c:layout/>
      <c:lineChart>
        <c:grouping val="stacked"/>
        <c:varyColors val="0"/>
        <c:ser>
          <c:idx val="0"/>
          <c:order val="0"/>
          <c:tx>
            <c:strRef>
              <c:f>Data!$M$6</c:f>
              <c:strCache>
                <c:ptCount val="1"/>
                <c:pt idx="0">
                  <c:v>Sample ACF Second Difference</c:v>
                </c:pt>
              </c:strCache>
            </c:strRef>
          </c:tx>
          <c:marker>
            <c:symbol val="none"/>
          </c:marker>
          <c:val>
            <c:numRef>
              <c:f>Data!$M$7:$M$81</c:f>
              <c:numCache>
                <c:formatCode>General</c:formatCode>
                <c:ptCount val="75"/>
                <c:pt idx="3">
                  <c:v>0.10693267419962349</c:v>
                </c:pt>
                <c:pt idx="4">
                  <c:v>-0.52080594590806195</c:v>
                </c:pt>
                <c:pt idx="5">
                  <c:v>-7.1268706041189164E-2</c:v>
                </c:pt>
                <c:pt idx="6">
                  <c:v>5.9707913164139172E-3</c:v>
                </c:pt>
                <c:pt idx="7">
                  <c:v>-2.0913781869922075E-2</c:v>
                </c:pt>
                <c:pt idx="8">
                  <c:v>7.7376726231598664E-2</c:v>
                </c:pt>
                <c:pt idx="9">
                  <c:v>-5.8924097313701136E-2</c:v>
                </c:pt>
                <c:pt idx="10">
                  <c:v>-7.128614422928059E-2</c:v>
                </c:pt>
                <c:pt idx="11">
                  <c:v>-3.9910306249363148E-2</c:v>
                </c:pt>
                <c:pt idx="12">
                  <c:v>-0.2645242508141058</c:v>
                </c:pt>
                <c:pt idx="13">
                  <c:v>8.6909334651334075E-2</c:v>
                </c:pt>
                <c:pt idx="14">
                  <c:v>0.61266613169608974</c:v>
                </c:pt>
                <c:pt idx="15">
                  <c:v>0.12742016226551922</c:v>
                </c:pt>
                <c:pt idx="16">
                  <c:v>-0.40002326724911041</c:v>
                </c:pt>
                <c:pt idx="17">
                  <c:v>-0.16127673091376415</c:v>
                </c:pt>
                <c:pt idx="18">
                  <c:v>4.6682240429556356E-2</c:v>
                </c:pt>
                <c:pt idx="19">
                  <c:v>0.15708016383834075</c:v>
                </c:pt>
                <c:pt idx="20">
                  <c:v>0.1784826181035839</c:v>
                </c:pt>
                <c:pt idx="21">
                  <c:v>-9.1743808321302203E-2</c:v>
                </c:pt>
                <c:pt idx="22">
                  <c:v>-0.23463447515338842</c:v>
                </c:pt>
                <c:pt idx="23">
                  <c:v>-0.18479801047652752</c:v>
                </c:pt>
                <c:pt idx="24">
                  <c:v>-0.19188381546481206</c:v>
                </c:pt>
                <c:pt idx="25">
                  <c:v>0.2045730529929479</c:v>
                </c:pt>
                <c:pt idx="26">
                  <c:v>0.58217654244109696</c:v>
                </c:pt>
                <c:pt idx="27">
                  <c:v>-3.3001277212752686E-2</c:v>
                </c:pt>
                <c:pt idx="28">
                  <c:v>-0.4003336886558494</c:v>
                </c:pt>
                <c:pt idx="29">
                  <c:v>-2.2803443541983732E-2</c:v>
                </c:pt>
                <c:pt idx="30">
                  <c:v>8.0793519175287612E-2</c:v>
                </c:pt>
                <c:pt idx="31">
                  <c:v>0.14358873930146104</c:v>
                </c:pt>
                <c:pt idx="32">
                  <c:v>0.18646297677191476</c:v>
                </c:pt>
                <c:pt idx="33">
                  <c:v>-0.15867999355749851</c:v>
                </c:pt>
                <c:pt idx="34">
                  <c:v>-0.22132610939351188</c:v>
                </c:pt>
                <c:pt idx="35">
                  <c:v>-0.12317913486076437</c:v>
                </c:pt>
                <c:pt idx="36">
                  <c:v>-0.14357166806875216</c:v>
                </c:pt>
                <c:pt idx="37">
                  <c:v>0.21379081969571162</c:v>
                </c:pt>
                <c:pt idx="38">
                  <c:v>0.41928343461900452</c:v>
                </c:pt>
                <c:pt idx="39">
                  <c:v>7.139975038031654E-3</c:v>
                </c:pt>
                <c:pt idx="40">
                  <c:v>-0.27972968328697317</c:v>
                </c:pt>
                <c:pt idx="41">
                  <c:v>-0.1680278561004071</c:v>
                </c:pt>
                <c:pt idx="42">
                  <c:v>0.14428118250138461</c:v>
                </c:pt>
                <c:pt idx="43">
                  <c:v>0.40143797830541439</c:v>
                </c:pt>
                <c:pt idx="44">
                  <c:v>2.5673392490541291E-2</c:v>
                </c:pt>
                <c:pt idx="45">
                  <c:v>-0.41511939892122623</c:v>
                </c:pt>
                <c:pt idx="46">
                  <c:v>-0.1321565773204724</c:v>
                </c:pt>
                <c:pt idx="47">
                  <c:v>7.1934096014740823E-2</c:v>
                </c:pt>
                <c:pt idx="48">
                  <c:v>-0.24611967748607722</c:v>
                </c:pt>
                <c:pt idx="49">
                  <c:v>6.0857129275854099E-2</c:v>
                </c:pt>
                <c:pt idx="50">
                  <c:v>0.3884814865897081</c:v>
                </c:pt>
                <c:pt idx="51">
                  <c:v>-8.134827318112664E-2</c:v>
                </c:pt>
                <c:pt idx="52">
                  <c:v>-0.14503384077680559</c:v>
                </c:pt>
                <c:pt idx="53">
                  <c:v>3.1019115283083338E-2</c:v>
                </c:pt>
                <c:pt idx="54">
                  <c:v>0.14435083215639091</c:v>
                </c:pt>
                <c:pt idx="55">
                  <c:v>0.42988120076807523</c:v>
                </c:pt>
                <c:pt idx="56">
                  <c:v>0.12322931931044749</c:v>
                </c:pt>
                <c:pt idx="57">
                  <c:v>-0.58514750388850834</c:v>
                </c:pt>
                <c:pt idx="58">
                  <c:v>-0.3033204631772301</c:v>
                </c:pt>
                <c:pt idx="59">
                  <c:v>0.16261100674841783</c:v>
                </c:pt>
                <c:pt idx="60">
                  <c:v>-0.18802535827258815</c:v>
                </c:pt>
                <c:pt idx="61">
                  <c:v>-7.7249523141279405E-2</c:v>
                </c:pt>
                <c:pt idx="62">
                  <c:v>0.50687282044017823</c:v>
                </c:pt>
                <c:pt idx="63">
                  <c:v>0.27282177156522947</c:v>
                </c:pt>
                <c:pt idx="64">
                  <c:v>7.4285753181103378E-2</c:v>
                </c:pt>
                <c:pt idx="65">
                  <c:v>-0.1217448559364049</c:v>
                </c:pt>
                <c:pt idx="66">
                  <c:v>-2.1482388652697363E-2</c:v>
                </c:pt>
                <c:pt idx="67">
                  <c:v>0.52876059417986843</c:v>
                </c:pt>
                <c:pt idx="68">
                  <c:v>-1.8355756348288201E-2</c:v>
                </c:pt>
                <c:pt idx="69">
                  <c:v>-0.63830500710979821</c:v>
                </c:pt>
                <c:pt idx="70">
                  <c:v>-0.6143057603372899</c:v>
                </c:pt>
                <c:pt idx="71">
                  <c:v>0.20582857330483087</c:v>
                </c:pt>
                <c:pt idx="72">
                  <c:v>0.81878925346157205</c:v>
                </c:pt>
                <c:pt idx="73">
                  <c:v>8.8651017908374319E-2</c:v>
                </c:pt>
                <c:pt idx="74">
                  <c:v>-0.46860771674816681</c:v>
                </c:pt>
              </c:numCache>
            </c:numRef>
          </c:val>
          <c:smooth val="0"/>
        </c:ser>
        <c:dLbls>
          <c:showLegendKey val="0"/>
          <c:showVal val="0"/>
          <c:showCatName val="0"/>
          <c:showSerName val="0"/>
          <c:showPercent val="0"/>
          <c:showBubbleSize val="0"/>
        </c:dLbls>
        <c:smooth val="0"/>
        <c:axId val="283790064"/>
        <c:axId val="283791744"/>
      </c:lineChart>
      <c:catAx>
        <c:axId val="283790064"/>
        <c:scaling>
          <c:orientation val="minMax"/>
        </c:scaling>
        <c:delete val="0"/>
        <c:axPos val="b"/>
        <c:majorTickMark val="out"/>
        <c:minorTickMark val="none"/>
        <c:tickLblPos val="nextTo"/>
        <c:crossAx val="283791744"/>
        <c:crosses val="autoZero"/>
        <c:auto val="1"/>
        <c:lblAlgn val="ctr"/>
        <c:lblOffset val="100"/>
        <c:noMultiLvlLbl val="0"/>
      </c:catAx>
      <c:valAx>
        <c:axId val="283791744"/>
        <c:scaling>
          <c:orientation val="minMax"/>
        </c:scaling>
        <c:delete val="0"/>
        <c:axPos val="l"/>
        <c:majorGridlines/>
        <c:numFmt formatCode="General" sourceLinked="1"/>
        <c:majorTickMark val="out"/>
        <c:minorTickMark val="none"/>
        <c:tickLblPos val="nextTo"/>
        <c:crossAx val="283790064"/>
        <c:crosses val="autoZero"/>
        <c:crossBetween val="between"/>
      </c:valAx>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HealthSpring</Company>
  <LinksUpToDate>false</LinksUpToDate>
  <CharactersWithSpaces>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Woolwine, Emmons (Hicks)</dc:creator>
  <cp:lastModifiedBy>Liberty Mutual</cp:lastModifiedBy>
  <cp:revision>2</cp:revision>
  <dcterms:created xsi:type="dcterms:W3CDTF">2016-10-06T21:36:00Z</dcterms:created>
  <dcterms:modified xsi:type="dcterms:W3CDTF">2016-10-06T21:36:00Z</dcterms:modified>
</cp:coreProperties>
</file>