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7AD" w:rsidRDefault="006A68A0">
      <w:pPr>
        <w:rPr>
          <w:rFonts w:ascii="Arial" w:hAnsi="Arial" w:cs="Arial"/>
          <w:sz w:val="20"/>
          <w:szCs w:val="20"/>
        </w:rPr>
      </w:pPr>
      <w:proofErr w:type="spellStart"/>
      <w:proofErr w:type="gramStart"/>
      <w:r>
        <w:rPr>
          <w:rFonts w:ascii="Arial" w:hAnsi="Arial" w:cs="Arial"/>
          <w:sz w:val="20"/>
          <w:szCs w:val="20"/>
        </w:rPr>
        <w:t>xxxxxxxx</w:t>
      </w:r>
      <w:proofErr w:type="spellEnd"/>
      <w:proofErr w:type="gramEnd"/>
      <w:r w:rsidR="007217AD">
        <w:rPr>
          <w:rFonts w:ascii="Arial" w:hAnsi="Arial" w:cs="Arial"/>
          <w:sz w:val="20"/>
          <w:szCs w:val="20"/>
        </w:rPr>
        <w:t xml:space="preserve"> </w:t>
      </w:r>
      <w:proofErr w:type="spellStart"/>
      <w:r>
        <w:rPr>
          <w:rFonts w:ascii="Arial" w:hAnsi="Arial" w:cs="Arial"/>
          <w:sz w:val="20"/>
          <w:szCs w:val="20"/>
        </w:rPr>
        <w:t>xxxxx</w:t>
      </w:r>
      <w:proofErr w:type="spellEnd"/>
      <w:r w:rsidR="007217AD">
        <w:rPr>
          <w:rFonts w:ascii="Arial" w:hAnsi="Arial" w:cs="Arial"/>
          <w:sz w:val="20"/>
          <w:szCs w:val="20"/>
        </w:rPr>
        <w:br/>
        <w:t>Time Series</w:t>
      </w:r>
      <w:r w:rsidR="007217AD">
        <w:rPr>
          <w:rFonts w:ascii="Arial" w:hAnsi="Arial" w:cs="Arial"/>
          <w:sz w:val="20"/>
          <w:szCs w:val="20"/>
        </w:rPr>
        <w:br/>
        <w:t>Winter 2016</w:t>
      </w:r>
      <w:r w:rsidR="007217AD">
        <w:rPr>
          <w:rFonts w:ascii="Arial" w:hAnsi="Arial" w:cs="Arial"/>
          <w:sz w:val="20"/>
          <w:szCs w:val="20"/>
        </w:rPr>
        <w:br/>
        <w:t>Student Project</w:t>
      </w:r>
    </w:p>
    <w:p w:rsidR="007217AD" w:rsidRDefault="007217AD" w:rsidP="007217AD">
      <w:pPr>
        <w:jc w:val="center"/>
        <w:rPr>
          <w:rFonts w:ascii="Arial" w:hAnsi="Arial" w:cs="Arial"/>
          <w:b/>
          <w:sz w:val="20"/>
          <w:szCs w:val="20"/>
        </w:rPr>
      </w:pPr>
      <w:r w:rsidRPr="007217AD">
        <w:rPr>
          <w:rFonts w:ascii="Arial" w:hAnsi="Arial" w:cs="Arial"/>
          <w:b/>
          <w:sz w:val="20"/>
          <w:szCs w:val="20"/>
        </w:rPr>
        <w:t>Time Series Model of Real Estate Prices</w:t>
      </w:r>
    </w:p>
    <w:p w:rsidR="007217AD" w:rsidRDefault="007217AD" w:rsidP="007217AD">
      <w:pPr>
        <w:rPr>
          <w:rFonts w:ascii="Arial" w:hAnsi="Arial" w:cs="Arial"/>
          <w:b/>
          <w:sz w:val="20"/>
          <w:szCs w:val="20"/>
        </w:rPr>
      </w:pPr>
      <w:r>
        <w:rPr>
          <w:rFonts w:ascii="Arial" w:hAnsi="Arial" w:cs="Arial"/>
          <w:b/>
          <w:sz w:val="20"/>
          <w:szCs w:val="20"/>
        </w:rPr>
        <w:t>Introduction</w:t>
      </w:r>
    </w:p>
    <w:p w:rsidR="007217AD" w:rsidRPr="007217AD" w:rsidRDefault="007217AD" w:rsidP="007217AD">
      <w:pPr>
        <w:rPr>
          <w:rFonts w:ascii="Arial" w:hAnsi="Arial" w:cs="Arial"/>
          <w:sz w:val="20"/>
          <w:szCs w:val="20"/>
        </w:rPr>
      </w:pPr>
      <w:r>
        <w:rPr>
          <w:rFonts w:ascii="Arial" w:hAnsi="Arial" w:cs="Arial"/>
          <w:sz w:val="20"/>
          <w:szCs w:val="20"/>
        </w:rPr>
        <w:tab/>
        <w:t xml:space="preserve">With the recent technology boom in Seattle, there has been a substantial increase in demand for </w:t>
      </w:r>
      <w:bookmarkStart w:id="0" w:name="_GoBack"/>
      <w:r>
        <w:rPr>
          <w:rFonts w:ascii="Arial" w:hAnsi="Arial" w:cs="Arial"/>
          <w:sz w:val="20"/>
          <w:szCs w:val="20"/>
        </w:rPr>
        <w:t>real estate</w:t>
      </w:r>
      <w:bookmarkEnd w:id="0"/>
      <w:r>
        <w:rPr>
          <w:rFonts w:ascii="Arial" w:hAnsi="Arial" w:cs="Arial"/>
          <w:sz w:val="20"/>
          <w:szCs w:val="20"/>
        </w:rPr>
        <w:t xml:space="preserve">. Many home owners </w:t>
      </w:r>
      <w:r w:rsidR="00302084">
        <w:rPr>
          <w:rFonts w:ascii="Arial" w:hAnsi="Arial" w:cs="Arial"/>
          <w:sz w:val="20"/>
          <w:szCs w:val="20"/>
        </w:rPr>
        <w:t>are taking</w:t>
      </w:r>
      <w:r>
        <w:rPr>
          <w:rFonts w:ascii="Arial" w:hAnsi="Arial" w:cs="Arial"/>
          <w:sz w:val="20"/>
          <w:szCs w:val="20"/>
        </w:rPr>
        <w:t xml:space="preserve"> this opportunity to sell their houses at a high margin</w:t>
      </w:r>
      <w:r w:rsidR="00302084">
        <w:rPr>
          <w:rFonts w:ascii="Arial" w:hAnsi="Arial" w:cs="Arial"/>
          <w:sz w:val="20"/>
          <w:szCs w:val="20"/>
        </w:rPr>
        <w:t>. However, those who are looking to buy will have to endure many years of debt.</w:t>
      </w:r>
      <w:r w:rsidR="00DE16F4">
        <w:rPr>
          <w:rFonts w:ascii="Arial" w:hAnsi="Arial" w:cs="Arial"/>
          <w:sz w:val="20"/>
          <w:szCs w:val="20"/>
        </w:rPr>
        <w:t xml:space="preserve"> Since I hope to be a home owner here in Seattle one day, I’m interested in estimating when this housing bubble will burst. I looked at historical median sale prices of real estate to find a suitable model for future forecasting. </w:t>
      </w:r>
    </w:p>
    <w:p w:rsidR="007217AD" w:rsidRDefault="007217AD" w:rsidP="007217AD">
      <w:pPr>
        <w:rPr>
          <w:rFonts w:ascii="Arial" w:hAnsi="Arial" w:cs="Arial"/>
          <w:b/>
          <w:sz w:val="20"/>
          <w:szCs w:val="20"/>
        </w:rPr>
      </w:pPr>
      <w:r>
        <w:rPr>
          <w:rFonts w:ascii="Arial" w:hAnsi="Arial" w:cs="Arial"/>
          <w:b/>
          <w:sz w:val="20"/>
          <w:szCs w:val="20"/>
        </w:rPr>
        <w:t>Data</w:t>
      </w:r>
    </w:p>
    <w:p w:rsidR="00A94226" w:rsidRDefault="00DE16F4" w:rsidP="007217AD">
      <w:pPr>
        <w:rPr>
          <w:rFonts w:ascii="Arial" w:hAnsi="Arial" w:cs="Arial"/>
          <w:sz w:val="20"/>
          <w:szCs w:val="20"/>
        </w:rPr>
      </w:pPr>
      <w:r>
        <w:rPr>
          <w:rFonts w:ascii="Arial" w:hAnsi="Arial" w:cs="Arial"/>
          <w:b/>
          <w:sz w:val="20"/>
          <w:szCs w:val="20"/>
        </w:rPr>
        <w:tab/>
      </w:r>
      <w:r w:rsidR="00A94226">
        <w:rPr>
          <w:rFonts w:ascii="Arial" w:hAnsi="Arial" w:cs="Arial"/>
          <w:sz w:val="20"/>
          <w:szCs w:val="20"/>
        </w:rPr>
        <w:t xml:space="preserve">Historical data for the median sale prices of real estate in Seattle can be found here: </w:t>
      </w:r>
      <w:hyperlink r:id="rId4" w:history="1">
        <w:r w:rsidR="00A94226" w:rsidRPr="00C55DA0">
          <w:rPr>
            <w:rStyle w:val="Hyperlink"/>
            <w:rFonts w:ascii="Arial" w:hAnsi="Arial" w:cs="Arial"/>
            <w:sz w:val="20"/>
            <w:szCs w:val="20"/>
          </w:rPr>
          <w:t>https://www.trulia.com/real_estate/Seattle-Washington/market-trends/</w:t>
        </w:r>
      </w:hyperlink>
    </w:p>
    <w:p w:rsidR="00A94226" w:rsidRDefault="00A94226" w:rsidP="007217AD">
      <w:pPr>
        <w:rPr>
          <w:rFonts w:ascii="Arial" w:hAnsi="Arial" w:cs="Arial"/>
          <w:sz w:val="20"/>
          <w:szCs w:val="20"/>
        </w:rPr>
      </w:pPr>
      <w:r>
        <w:rPr>
          <w:rFonts w:ascii="Arial" w:hAnsi="Arial" w:cs="Arial"/>
          <w:sz w:val="20"/>
          <w:szCs w:val="20"/>
        </w:rPr>
        <w:t>This data is collected over the span of ~5 years, from December 201</w:t>
      </w:r>
      <w:r w:rsidR="00E83292">
        <w:rPr>
          <w:rFonts w:ascii="Arial" w:hAnsi="Arial" w:cs="Arial"/>
          <w:sz w:val="20"/>
          <w:szCs w:val="20"/>
        </w:rPr>
        <w:t>1</w:t>
      </w:r>
      <w:r>
        <w:rPr>
          <w:rFonts w:ascii="Arial" w:hAnsi="Arial" w:cs="Arial"/>
          <w:sz w:val="20"/>
          <w:szCs w:val="20"/>
        </w:rPr>
        <w:t xml:space="preserve"> through November 2016. </w:t>
      </w:r>
      <w:r w:rsidR="00E83292">
        <w:rPr>
          <w:rFonts w:ascii="Arial" w:hAnsi="Arial" w:cs="Arial"/>
          <w:sz w:val="20"/>
          <w:szCs w:val="20"/>
        </w:rPr>
        <w:t>Figure</w:t>
      </w:r>
      <w:r>
        <w:rPr>
          <w:rFonts w:ascii="Arial" w:hAnsi="Arial" w:cs="Arial"/>
          <w:sz w:val="20"/>
          <w:szCs w:val="20"/>
        </w:rPr>
        <w:t xml:space="preserve"> 1 shows the plot of the data source.</w:t>
      </w:r>
    </w:p>
    <w:p w:rsidR="00A94226" w:rsidRPr="00A94226" w:rsidRDefault="00ED64B4" w:rsidP="00A94226">
      <w:pPr>
        <w:jc w:val="center"/>
        <w:rPr>
          <w:rFonts w:ascii="Arial" w:hAnsi="Arial" w:cs="Arial"/>
          <w:b/>
          <w:sz w:val="20"/>
          <w:szCs w:val="20"/>
        </w:rPr>
      </w:pPr>
      <w:r>
        <w:rPr>
          <w:rFonts w:ascii="Arial" w:hAnsi="Arial" w:cs="Arial"/>
          <w:b/>
          <w:sz w:val="20"/>
          <w:szCs w:val="20"/>
        </w:rPr>
        <w:t>Figure</w:t>
      </w:r>
      <w:r w:rsidR="00A94226" w:rsidRPr="00A94226">
        <w:rPr>
          <w:rFonts w:ascii="Arial" w:hAnsi="Arial" w:cs="Arial"/>
          <w:b/>
          <w:sz w:val="20"/>
          <w:szCs w:val="20"/>
        </w:rPr>
        <w:t xml:space="preserve"> 1: Sale Price over Time</w:t>
      </w:r>
    </w:p>
    <w:p w:rsidR="007217AD" w:rsidRPr="00A94226" w:rsidRDefault="00A94226" w:rsidP="007217AD">
      <w:pPr>
        <w:rPr>
          <w:rFonts w:ascii="Arial" w:hAnsi="Arial" w:cs="Arial"/>
          <w:sz w:val="20"/>
          <w:szCs w:val="20"/>
        </w:rPr>
      </w:pPr>
      <w:r>
        <w:rPr>
          <w:noProof/>
        </w:rPr>
        <w:drawing>
          <wp:inline distT="0" distB="0" distL="0" distR="0" wp14:anchorId="4253D6F5" wp14:editId="70D0AD9F">
            <wp:extent cx="6520070" cy="2441050"/>
            <wp:effectExtent l="0" t="0" r="14605" b="165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217AD" w:rsidRDefault="007217AD" w:rsidP="007217AD">
      <w:pPr>
        <w:rPr>
          <w:rFonts w:ascii="Arial" w:hAnsi="Arial" w:cs="Arial"/>
          <w:b/>
          <w:sz w:val="20"/>
          <w:szCs w:val="20"/>
        </w:rPr>
      </w:pPr>
      <w:r>
        <w:rPr>
          <w:rFonts w:ascii="Arial" w:hAnsi="Arial" w:cs="Arial"/>
          <w:b/>
          <w:sz w:val="20"/>
          <w:szCs w:val="20"/>
        </w:rPr>
        <w:t>Model Specification &amp; Fitting</w:t>
      </w:r>
    </w:p>
    <w:p w:rsidR="00A94226" w:rsidRDefault="00A94226" w:rsidP="007217AD">
      <w:pPr>
        <w:rPr>
          <w:rFonts w:ascii="Arial" w:hAnsi="Arial" w:cs="Arial"/>
          <w:sz w:val="20"/>
          <w:szCs w:val="20"/>
        </w:rPr>
      </w:pPr>
      <w:r>
        <w:rPr>
          <w:rFonts w:ascii="Arial" w:hAnsi="Arial" w:cs="Arial"/>
          <w:b/>
          <w:sz w:val="20"/>
          <w:szCs w:val="20"/>
        </w:rPr>
        <w:tab/>
      </w:r>
      <w:r w:rsidR="00ED64B4">
        <w:rPr>
          <w:rFonts w:ascii="Arial" w:hAnsi="Arial" w:cs="Arial"/>
          <w:sz w:val="20"/>
          <w:szCs w:val="20"/>
        </w:rPr>
        <w:t xml:space="preserve">Figure 1 shows that there is an obvious increasing trend, which could possible signify that the data is not stationary. To determine the appropriate model, I looked at the sample autocorrelation function. The formula is as follows: </w:t>
      </w:r>
    </w:p>
    <w:p w:rsidR="00ED64B4" w:rsidRPr="00ED64B4" w:rsidRDefault="006A68A0" w:rsidP="00ED64B4">
      <w:pPr>
        <w:spacing w:after="0" w:line="360" w:lineRule="auto"/>
        <w:rPr>
          <w:rFonts w:eastAsiaTheme="minorEastAsia"/>
          <w:sz w:val="20"/>
          <w:szCs w:val="20"/>
        </w:rPr>
      </w:pPr>
      <m:oMathPara>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k</m:t>
              </m:r>
            </m:sub>
          </m:sSub>
          <m:r>
            <w:rPr>
              <w:rFonts w:ascii="Cambria Math" w:hAnsi="Cambria Math"/>
              <w:sz w:val="20"/>
              <w:szCs w:val="20"/>
            </w:rPr>
            <m:t xml:space="preserve">= </m:t>
          </m:r>
          <m:f>
            <m:fPr>
              <m:ctrlPr>
                <w:rPr>
                  <w:rFonts w:ascii="Cambria Math" w:hAnsi="Cambria Math"/>
                  <w:i/>
                  <w:sz w:val="20"/>
                  <w:szCs w:val="20"/>
                </w:rPr>
              </m:ctrlPr>
            </m:fPr>
            <m:num>
              <m:nary>
                <m:naryPr>
                  <m:chr m:val="∑"/>
                  <m:limLoc m:val="subSup"/>
                  <m:ctrlPr>
                    <w:rPr>
                      <w:rFonts w:ascii="Cambria Math" w:hAnsi="Cambria Math"/>
                      <w:i/>
                      <w:sz w:val="20"/>
                      <w:szCs w:val="20"/>
                    </w:rPr>
                  </m:ctrlPr>
                </m:naryPr>
                <m:sub>
                  <m:r>
                    <w:rPr>
                      <w:rFonts w:ascii="Cambria Math" w:hAnsi="Cambria Math"/>
                      <w:sz w:val="20"/>
                      <w:szCs w:val="20"/>
                    </w:rPr>
                    <m:t>t=k+1</m:t>
                  </m:r>
                </m:sub>
                <m:sup>
                  <m:r>
                    <w:rPr>
                      <w:rFonts w:ascii="Cambria Math" w:hAnsi="Cambria Math"/>
                      <w:sz w:val="20"/>
                      <w:szCs w:val="20"/>
                    </w:rPr>
                    <m:t>n</m:t>
                  </m:r>
                </m:sup>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t</m:t>
                      </m:r>
                    </m:sub>
                  </m:sSub>
                  <m:r>
                    <w:rPr>
                      <w:rFonts w:ascii="Cambria Math" w:hAnsi="Cambria Math"/>
                      <w:sz w:val="20"/>
                      <w:szCs w:val="20"/>
                    </w:rPr>
                    <m:t>-</m:t>
                  </m:r>
                  <m:acc>
                    <m:accPr>
                      <m:chr m:val="̅"/>
                      <m:ctrlPr>
                        <w:rPr>
                          <w:rFonts w:ascii="Cambria Math" w:hAnsi="Cambria Math"/>
                          <w:i/>
                          <w:sz w:val="20"/>
                          <w:szCs w:val="20"/>
                        </w:rPr>
                      </m:ctrlPr>
                    </m:accPr>
                    <m:e>
                      <m:r>
                        <w:rPr>
                          <w:rFonts w:ascii="Cambria Math" w:hAnsi="Cambria Math"/>
                          <w:sz w:val="20"/>
                          <w:szCs w:val="20"/>
                        </w:rPr>
                        <m:t>Y</m:t>
                      </m:r>
                    </m:e>
                  </m:ac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t-k</m:t>
                      </m:r>
                    </m:sub>
                  </m:sSub>
                  <m:r>
                    <w:rPr>
                      <w:rFonts w:ascii="Cambria Math" w:hAnsi="Cambria Math"/>
                      <w:sz w:val="20"/>
                      <w:szCs w:val="20"/>
                    </w:rPr>
                    <m:t>-</m:t>
                  </m:r>
                  <m:acc>
                    <m:accPr>
                      <m:chr m:val="̅"/>
                      <m:ctrlPr>
                        <w:rPr>
                          <w:rFonts w:ascii="Cambria Math" w:hAnsi="Cambria Math"/>
                          <w:i/>
                          <w:sz w:val="20"/>
                          <w:szCs w:val="20"/>
                        </w:rPr>
                      </m:ctrlPr>
                    </m:accPr>
                    <m:e>
                      <m:r>
                        <w:rPr>
                          <w:rFonts w:ascii="Cambria Math" w:hAnsi="Cambria Math"/>
                          <w:sz w:val="20"/>
                          <w:szCs w:val="20"/>
                        </w:rPr>
                        <m:t>Y</m:t>
                      </m:r>
                    </m:e>
                  </m:acc>
                  <m:r>
                    <w:rPr>
                      <w:rFonts w:ascii="Cambria Math" w:hAnsi="Cambria Math"/>
                      <w:sz w:val="20"/>
                      <w:szCs w:val="20"/>
                    </w:rPr>
                    <m:t>)</m:t>
                  </m:r>
                </m:e>
              </m:nary>
            </m:num>
            <m:den>
              <m:nary>
                <m:naryPr>
                  <m:chr m:val="∑"/>
                  <m:limLoc m:val="undOvr"/>
                  <m:ctrlPr>
                    <w:rPr>
                      <w:rFonts w:ascii="Cambria Math" w:hAnsi="Cambria Math"/>
                      <w:i/>
                      <w:sz w:val="20"/>
                      <w:szCs w:val="20"/>
                    </w:rPr>
                  </m:ctrlPr>
                </m:naryPr>
                <m:sub>
                  <m:r>
                    <w:rPr>
                      <w:rFonts w:ascii="Cambria Math" w:hAnsi="Cambria Math"/>
                      <w:sz w:val="20"/>
                      <w:szCs w:val="20"/>
                    </w:rPr>
                    <m:t>t=1</m:t>
                  </m:r>
                </m:sub>
                <m:sup>
                  <m:r>
                    <w:rPr>
                      <w:rFonts w:ascii="Cambria Math" w:hAnsi="Cambria Math"/>
                      <w:sz w:val="20"/>
                      <w:szCs w:val="20"/>
                    </w:rPr>
                    <m:t>n</m:t>
                  </m:r>
                </m:sup>
                <m:e>
                  <m:sSup>
                    <m:sSupPr>
                      <m:ctrlPr>
                        <w:rPr>
                          <w:rFonts w:ascii="Cambria Math" w:hAnsi="Cambria Math"/>
                          <w:i/>
                          <w:sz w:val="20"/>
                          <w:szCs w:val="20"/>
                        </w:rPr>
                      </m:ctrlPr>
                    </m:sSup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t</m:t>
                          </m:r>
                        </m:sub>
                      </m:sSub>
                      <m:r>
                        <w:rPr>
                          <w:rFonts w:ascii="Cambria Math" w:hAnsi="Cambria Math"/>
                          <w:sz w:val="20"/>
                          <w:szCs w:val="20"/>
                        </w:rPr>
                        <m:t>-</m:t>
                      </m:r>
                      <m:acc>
                        <m:accPr>
                          <m:chr m:val="̅"/>
                          <m:ctrlPr>
                            <w:rPr>
                              <w:rFonts w:ascii="Cambria Math" w:hAnsi="Cambria Math"/>
                              <w:i/>
                              <w:sz w:val="20"/>
                              <w:szCs w:val="20"/>
                            </w:rPr>
                          </m:ctrlPr>
                        </m:accPr>
                        <m:e>
                          <m:r>
                            <w:rPr>
                              <w:rFonts w:ascii="Cambria Math" w:hAnsi="Cambria Math"/>
                              <w:sz w:val="20"/>
                              <w:szCs w:val="20"/>
                            </w:rPr>
                            <m:t>Y</m:t>
                          </m:r>
                        </m:e>
                      </m:acc>
                      <m:r>
                        <w:rPr>
                          <w:rFonts w:ascii="Cambria Math" w:hAnsi="Cambria Math"/>
                          <w:sz w:val="20"/>
                          <w:szCs w:val="20"/>
                        </w:rPr>
                        <m:t>)</m:t>
                      </m:r>
                    </m:e>
                    <m:sup>
                      <m:r>
                        <w:rPr>
                          <w:rFonts w:ascii="Cambria Math" w:hAnsi="Cambria Math"/>
                          <w:sz w:val="20"/>
                          <w:szCs w:val="20"/>
                        </w:rPr>
                        <m:t>2</m:t>
                      </m:r>
                    </m:sup>
                  </m:sSup>
                </m:e>
              </m:nary>
            </m:den>
          </m:f>
        </m:oMath>
      </m:oMathPara>
    </w:p>
    <w:p w:rsidR="00F62092" w:rsidRDefault="00ED64B4" w:rsidP="007217AD">
      <w:pPr>
        <w:rPr>
          <w:rFonts w:ascii="Arial" w:hAnsi="Arial" w:cs="Arial"/>
          <w:sz w:val="20"/>
          <w:szCs w:val="20"/>
        </w:rPr>
      </w:pPr>
      <w:r>
        <w:rPr>
          <w:rFonts w:ascii="Arial" w:hAnsi="Arial" w:cs="Arial"/>
          <w:sz w:val="20"/>
          <w:szCs w:val="20"/>
        </w:rPr>
        <w:t xml:space="preserve">Figure 2 below shows the sample autocorrelation of the data. We see from the plot that the sample autocorrelation decreases to zero gradually and then </w:t>
      </w:r>
      <w:r w:rsidR="00F62092">
        <w:rPr>
          <w:rFonts w:ascii="Arial" w:hAnsi="Arial" w:cs="Arial"/>
          <w:sz w:val="20"/>
          <w:szCs w:val="20"/>
        </w:rPr>
        <w:t xml:space="preserve">increases back to zero from lag 41-43 onward. </w:t>
      </w:r>
      <w:r w:rsidR="00F62092">
        <w:rPr>
          <w:rFonts w:ascii="Arial" w:hAnsi="Arial" w:cs="Arial"/>
          <w:sz w:val="20"/>
          <w:szCs w:val="20"/>
        </w:rPr>
        <w:lastRenderedPageBreak/>
        <w:t xml:space="preserve">Since that is the case, </w:t>
      </w:r>
      <w:r w:rsidR="00E83292">
        <w:rPr>
          <w:rFonts w:ascii="Arial" w:hAnsi="Arial" w:cs="Arial"/>
          <w:sz w:val="20"/>
          <w:szCs w:val="20"/>
        </w:rPr>
        <w:t>my suspicions are that</w:t>
      </w:r>
      <w:r w:rsidR="00F62092">
        <w:rPr>
          <w:rFonts w:ascii="Arial" w:hAnsi="Arial" w:cs="Arial"/>
          <w:sz w:val="20"/>
          <w:szCs w:val="20"/>
        </w:rPr>
        <w:t xml:space="preserve"> an </w:t>
      </w:r>
      <w:proofErr w:type="gramStart"/>
      <w:r w:rsidR="00F62092">
        <w:rPr>
          <w:rFonts w:ascii="Arial" w:hAnsi="Arial" w:cs="Arial"/>
          <w:sz w:val="20"/>
          <w:szCs w:val="20"/>
        </w:rPr>
        <w:t>AR(</w:t>
      </w:r>
      <w:proofErr w:type="gramEnd"/>
      <w:r w:rsidR="00F62092">
        <w:rPr>
          <w:rFonts w:ascii="Arial" w:hAnsi="Arial" w:cs="Arial"/>
          <w:sz w:val="20"/>
          <w:szCs w:val="20"/>
        </w:rPr>
        <w:t>2) model</w:t>
      </w:r>
      <w:r w:rsidR="00E83292">
        <w:rPr>
          <w:rFonts w:ascii="Arial" w:hAnsi="Arial" w:cs="Arial"/>
          <w:sz w:val="20"/>
          <w:szCs w:val="20"/>
        </w:rPr>
        <w:t xml:space="preserve"> will be the best fit</w:t>
      </w:r>
      <w:r w:rsidR="00F62092">
        <w:rPr>
          <w:rFonts w:ascii="Arial" w:hAnsi="Arial" w:cs="Arial"/>
          <w:sz w:val="20"/>
          <w:szCs w:val="20"/>
        </w:rPr>
        <w:t xml:space="preserve">. We will also look at the </w:t>
      </w:r>
      <w:proofErr w:type="gramStart"/>
      <w:r w:rsidR="00F62092">
        <w:rPr>
          <w:rFonts w:ascii="Arial" w:hAnsi="Arial" w:cs="Arial"/>
          <w:sz w:val="20"/>
          <w:szCs w:val="20"/>
        </w:rPr>
        <w:t>AR(</w:t>
      </w:r>
      <w:proofErr w:type="gramEnd"/>
      <w:r w:rsidR="00F62092">
        <w:rPr>
          <w:rFonts w:ascii="Arial" w:hAnsi="Arial" w:cs="Arial"/>
          <w:sz w:val="20"/>
          <w:szCs w:val="20"/>
        </w:rPr>
        <w:t xml:space="preserve">1) model just to see if it could also be an appropriate </w:t>
      </w:r>
      <w:r w:rsidR="00E83292">
        <w:rPr>
          <w:rFonts w:ascii="Arial" w:hAnsi="Arial" w:cs="Arial"/>
          <w:sz w:val="20"/>
          <w:szCs w:val="20"/>
        </w:rPr>
        <w:t>model</w:t>
      </w:r>
      <w:r w:rsidR="00F62092">
        <w:rPr>
          <w:rFonts w:ascii="Arial" w:hAnsi="Arial" w:cs="Arial"/>
          <w:sz w:val="20"/>
          <w:szCs w:val="20"/>
        </w:rPr>
        <w:t xml:space="preserve"> as well.</w:t>
      </w:r>
    </w:p>
    <w:p w:rsidR="00ED64B4" w:rsidRPr="00ED64B4" w:rsidRDefault="00ED64B4" w:rsidP="00E53B46">
      <w:pPr>
        <w:jc w:val="center"/>
        <w:rPr>
          <w:rFonts w:ascii="Arial" w:hAnsi="Arial" w:cs="Arial"/>
          <w:b/>
          <w:sz w:val="20"/>
          <w:szCs w:val="20"/>
        </w:rPr>
      </w:pPr>
      <w:r>
        <w:rPr>
          <w:rFonts w:ascii="Arial" w:hAnsi="Arial" w:cs="Arial"/>
          <w:b/>
          <w:sz w:val="20"/>
          <w:szCs w:val="20"/>
        </w:rPr>
        <w:t>Figure 2: Sample Autocorrelation Function</w:t>
      </w:r>
    </w:p>
    <w:p w:rsidR="00ED64B4" w:rsidRDefault="00ED64B4" w:rsidP="007217AD">
      <w:pPr>
        <w:rPr>
          <w:rFonts w:ascii="Arial" w:hAnsi="Arial" w:cs="Arial"/>
          <w:sz w:val="20"/>
          <w:szCs w:val="20"/>
        </w:rPr>
      </w:pPr>
      <w:r>
        <w:rPr>
          <w:noProof/>
        </w:rPr>
        <w:drawing>
          <wp:inline distT="0" distB="0" distL="0" distR="0" wp14:anchorId="4235953C" wp14:editId="58620BA0">
            <wp:extent cx="5947576" cy="3570136"/>
            <wp:effectExtent l="0" t="0" r="15240" b="1143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53B46" w:rsidRDefault="00E53B46" w:rsidP="00E53B46">
      <w:pPr>
        <w:jc w:val="center"/>
        <w:rPr>
          <w:rFonts w:ascii="Arial" w:hAnsi="Arial" w:cs="Arial"/>
          <w:b/>
          <w:sz w:val="20"/>
          <w:szCs w:val="20"/>
        </w:rPr>
      </w:pPr>
      <w:r>
        <w:rPr>
          <w:rFonts w:ascii="Arial" w:hAnsi="Arial" w:cs="Arial"/>
          <w:b/>
          <w:sz w:val="20"/>
          <w:szCs w:val="20"/>
        </w:rPr>
        <w:t xml:space="preserve">Figure 3: Sample Autocorrelation </w:t>
      </w:r>
      <w:r w:rsidR="005677F8">
        <w:rPr>
          <w:rFonts w:ascii="Arial" w:hAnsi="Arial" w:cs="Arial"/>
          <w:b/>
          <w:sz w:val="20"/>
          <w:szCs w:val="20"/>
        </w:rPr>
        <w:t>of First Differences</w:t>
      </w:r>
    </w:p>
    <w:p w:rsidR="00E53B46" w:rsidRDefault="00E53B46" w:rsidP="00E53B46">
      <w:pPr>
        <w:jc w:val="center"/>
        <w:rPr>
          <w:rFonts w:ascii="Arial" w:hAnsi="Arial" w:cs="Arial"/>
          <w:b/>
          <w:sz w:val="20"/>
          <w:szCs w:val="20"/>
        </w:rPr>
      </w:pPr>
      <w:r>
        <w:rPr>
          <w:noProof/>
        </w:rPr>
        <w:drawing>
          <wp:inline distT="0" distB="0" distL="0" distR="0" wp14:anchorId="22212E10" wp14:editId="26821783">
            <wp:extent cx="6217920" cy="2910177"/>
            <wp:effectExtent l="0" t="0" r="11430" b="241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17916" w:rsidRDefault="00417916" w:rsidP="00E53B46">
      <w:pPr>
        <w:jc w:val="center"/>
        <w:rPr>
          <w:rFonts w:ascii="Arial" w:hAnsi="Arial" w:cs="Arial"/>
          <w:b/>
          <w:sz w:val="20"/>
          <w:szCs w:val="20"/>
        </w:rPr>
      </w:pPr>
    </w:p>
    <w:p w:rsidR="00AC4C5F" w:rsidRDefault="00AC4C5F" w:rsidP="00AC4C5F">
      <w:pPr>
        <w:jc w:val="center"/>
        <w:rPr>
          <w:rFonts w:ascii="Arial" w:hAnsi="Arial" w:cs="Arial"/>
          <w:b/>
          <w:sz w:val="20"/>
          <w:szCs w:val="20"/>
        </w:rPr>
      </w:pPr>
      <w:r>
        <w:rPr>
          <w:rFonts w:ascii="Arial" w:hAnsi="Arial" w:cs="Arial"/>
          <w:b/>
          <w:sz w:val="20"/>
          <w:szCs w:val="20"/>
        </w:rPr>
        <w:lastRenderedPageBreak/>
        <w:t>Figure 4: Sample Autocorrelation of Second Differences</w:t>
      </w:r>
    </w:p>
    <w:p w:rsidR="00F05006" w:rsidRDefault="00F05006" w:rsidP="00AC4C5F">
      <w:pPr>
        <w:jc w:val="center"/>
        <w:rPr>
          <w:rFonts w:ascii="Arial" w:hAnsi="Arial" w:cs="Arial"/>
          <w:b/>
          <w:sz w:val="20"/>
          <w:szCs w:val="20"/>
        </w:rPr>
      </w:pPr>
      <w:r>
        <w:rPr>
          <w:noProof/>
        </w:rPr>
        <w:drawing>
          <wp:inline distT="0" distB="0" distL="0" distR="0" wp14:anchorId="1270DFF5" wp14:editId="30225AC3">
            <wp:extent cx="6400800" cy="2910178"/>
            <wp:effectExtent l="0" t="0" r="19050" b="241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53B46" w:rsidRPr="00ED64B4" w:rsidRDefault="00417916" w:rsidP="007217AD">
      <w:pPr>
        <w:rPr>
          <w:rFonts w:ascii="Arial" w:hAnsi="Arial" w:cs="Arial"/>
          <w:sz w:val="20"/>
          <w:szCs w:val="20"/>
        </w:rPr>
      </w:pPr>
      <w:r>
        <w:rPr>
          <w:rFonts w:ascii="Arial" w:hAnsi="Arial" w:cs="Arial"/>
          <w:sz w:val="20"/>
          <w:szCs w:val="20"/>
        </w:rPr>
        <w:tab/>
        <w:t xml:space="preserve">From Figure 3, we can see that the </w:t>
      </w:r>
      <w:proofErr w:type="spellStart"/>
      <w:r>
        <w:rPr>
          <w:rFonts w:ascii="Arial" w:hAnsi="Arial" w:cs="Arial"/>
          <w:sz w:val="20"/>
          <w:szCs w:val="20"/>
        </w:rPr>
        <w:t>correlogram</w:t>
      </w:r>
      <w:proofErr w:type="spellEnd"/>
      <w:r>
        <w:rPr>
          <w:rFonts w:ascii="Arial" w:hAnsi="Arial" w:cs="Arial"/>
          <w:sz w:val="20"/>
          <w:szCs w:val="20"/>
        </w:rPr>
        <w:t xml:space="preserve"> of first differences decreases to zero by the fifth lag. Figur</w:t>
      </w:r>
      <w:r w:rsidR="001D5C43">
        <w:rPr>
          <w:rFonts w:ascii="Arial" w:hAnsi="Arial" w:cs="Arial"/>
          <w:sz w:val="20"/>
          <w:szCs w:val="20"/>
        </w:rPr>
        <w:t xml:space="preserve">e 4 shows high fluctuations from zero. Therefore, I believe that an </w:t>
      </w:r>
      <w:proofErr w:type="gramStart"/>
      <w:r w:rsidR="001D5C43">
        <w:rPr>
          <w:rFonts w:ascii="Arial" w:hAnsi="Arial" w:cs="Arial"/>
          <w:sz w:val="20"/>
          <w:szCs w:val="20"/>
        </w:rPr>
        <w:t>AR(</w:t>
      </w:r>
      <w:proofErr w:type="gramEnd"/>
      <w:r w:rsidR="001D5C43">
        <w:rPr>
          <w:rFonts w:ascii="Arial" w:hAnsi="Arial" w:cs="Arial"/>
          <w:sz w:val="20"/>
          <w:szCs w:val="20"/>
        </w:rPr>
        <w:t>1) model might not</w:t>
      </w:r>
      <w:r w:rsidR="002952B6">
        <w:rPr>
          <w:rFonts w:ascii="Arial" w:hAnsi="Arial" w:cs="Arial"/>
          <w:sz w:val="20"/>
          <w:szCs w:val="20"/>
        </w:rPr>
        <w:t xml:space="preserve"> be a good fit. Neverthel</w:t>
      </w:r>
      <w:r w:rsidR="00E83292">
        <w:rPr>
          <w:rFonts w:ascii="Arial" w:hAnsi="Arial" w:cs="Arial"/>
          <w:sz w:val="20"/>
          <w:szCs w:val="20"/>
        </w:rPr>
        <w:t xml:space="preserve">ess, we will still look at </w:t>
      </w:r>
      <w:proofErr w:type="gramStart"/>
      <w:r w:rsidR="00E83292">
        <w:rPr>
          <w:rFonts w:ascii="Arial" w:hAnsi="Arial" w:cs="Arial"/>
          <w:sz w:val="20"/>
          <w:szCs w:val="20"/>
        </w:rPr>
        <w:t>AR(</w:t>
      </w:r>
      <w:proofErr w:type="gramEnd"/>
      <w:r w:rsidR="00E83292">
        <w:rPr>
          <w:rFonts w:ascii="Arial" w:hAnsi="Arial" w:cs="Arial"/>
          <w:sz w:val="20"/>
          <w:szCs w:val="20"/>
        </w:rPr>
        <w:t>1)</w:t>
      </w:r>
      <w:r w:rsidR="002952B6">
        <w:rPr>
          <w:rFonts w:ascii="Arial" w:hAnsi="Arial" w:cs="Arial"/>
          <w:sz w:val="20"/>
          <w:szCs w:val="20"/>
        </w:rPr>
        <w:t>.</w:t>
      </w:r>
    </w:p>
    <w:p w:rsidR="002952B6" w:rsidRDefault="002952B6" w:rsidP="007217AD">
      <w:pPr>
        <w:rPr>
          <w:rFonts w:ascii="Arial" w:hAnsi="Arial" w:cs="Arial"/>
          <w:sz w:val="20"/>
          <w:szCs w:val="20"/>
        </w:rPr>
      </w:pPr>
      <w:r>
        <w:rPr>
          <w:rFonts w:ascii="Arial" w:hAnsi="Arial" w:cs="Arial"/>
          <w:b/>
          <w:sz w:val="20"/>
          <w:szCs w:val="20"/>
        </w:rPr>
        <w:tab/>
      </w:r>
      <w:r>
        <w:rPr>
          <w:rFonts w:ascii="Arial" w:hAnsi="Arial" w:cs="Arial"/>
          <w:sz w:val="20"/>
          <w:szCs w:val="20"/>
        </w:rPr>
        <w:t xml:space="preserve">Using Excel, I estimated the parameters for both the </w:t>
      </w:r>
      <w:proofErr w:type="gramStart"/>
      <w:r>
        <w:rPr>
          <w:rFonts w:ascii="Arial" w:hAnsi="Arial" w:cs="Arial"/>
          <w:sz w:val="20"/>
          <w:szCs w:val="20"/>
        </w:rPr>
        <w:t>AR(</w:t>
      </w:r>
      <w:proofErr w:type="gramEnd"/>
      <w:r>
        <w:rPr>
          <w:rFonts w:ascii="Arial" w:hAnsi="Arial" w:cs="Arial"/>
          <w:sz w:val="20"/>
          <w:szCs w:val="20"/>
        </w:rPr>
        <w:t>1) and AR(2) models using the least squares method. Results are as seen below.</w:t>
      </w:r>
    </w:p>
    <w:p w:rsidR="002952B6" w:rsidRPr="002952B6" w:rsidRDefault="002952B6" w:rsidP="002952B6">
      <w:pPr>
        <w:spacing w:after="0" w:line="360" w:lineRule="auto"/>
        <w:rPr>
          <w:rFonts w:ascii="Arial" w:hAnsi="Arial" w:cs="Arial"/>
          <w:i/>
        </w:rPr>
      </w:pPr>
      <w:proofErr w:type="gramStart"/>
      <w:r w:rsidRPr="002952B6">
        <w:rPr>
          <w:rFonts w:ascii="Arial" w:hAnsi="Arial" w:cs="Arial"/>
          <w:i/>
        </w:rPr>
        <w:t>AR(</w:t>
      </w:r>
      <w:proofErr w:type="gramEnd"/>
      <w:r w:rsidRPr="002952B6">
        <w:rPr>
          <w:rFonts w:ascii="Arial" w:hAnsi="Arial" w:cs="Arial"/>
          <w:i/>
        </w:rPr>
        <w:t>2)</w:t>
      </w:r>
      <w:r w:rsidRPr="002952B6">
        <w:rPr>
          <w:rFonts w:ascii="Arial" w:hAnsi="Arial" w:cs="Arial"/>
          <w:i/>
        </w:rPr>
        <w:tab/>
      </w:r>
      <w:r w:rsidRPr="002952B6">
        <w:rPr>
          <w:rFonts w:ascii="Arial" w:hAnsi="Arial" w:cs="Arial"/>
          <w:i/>
        </w:rPr>
        <w:tab/>
      </w:r>
    </w:p>
    <w:p w:rsidR="002952B6" w:rsidRDefault="002952B6" w:rsidP="002952B6">
      <w:pPr>
        <w:spacing w:after="0" w:line="360" w:lineRule="auto"/>
        <w:rPr>
          <w:rFonts w:ascii="Arial" w:hAnsi="Arial" w:cs="Arial"/>
        </w:rPr>
      </w:pPr>
      <w:proofErr w:type="spellStart"/>
      <w:proofErr w:type="gramStart"/>
      <w:r w:rsidRPr="002952B6">
        <w:rPr>
          <w:rFonts w:ascii="Arial" w:hAnsi="Arial" w:cs="Arial"/>
        </w:rPr>
        <w:t>Y</w:t>
      </w:r>
      <w:r w:rsidRPr="002952B6">
        <w:rPr>
          <w:rFonts w:ascii="Arial" w:hAnsi="Arial" w:cs="Arial"/>
          <w:vertAlign w:val="subscript"/>
        </w:rPr>
        <w:t>t</w:t>
      </w:r>
      <w:proofErr w:type="spellEnd"/>
      <w:proofErr w:type="gramEnd"/>
      <w:r w:rsidRPr="002952B6">
        <w:rPr>
          <w:rFonts w:ascii="Arial" w:hAnsi="Arial" w:cs="Arial"/>
        </w:rPr>
        <w:t xml:space="preserve"> = Φ</w:t>
      </w:r>
      <w:r w:rsidRPr="002952B6">
        <w:rPr>
          <w:rFonts w:ascii="Arial" w:hAnsi="Arial" w:cs="Arial"/>
          <w:vertAlign w:val="subscript"/>
        </w:rPr>
        <w:t>1</w:t>
      </w:r>
      <w:r w:rsidRPr="002952B6">
        <w:rPr>
          <w:rFonts w:ascii="Arial" w:hAnsi="Arial" w:cs="Arial"/>
        </w:rPr>
        <w:t>Y</w:t>
      </w:r>
      <w:r w:rsidRPr="002952B6">
        <w:rPr>
          <w:rFonts w:ascii="Arial" w:hAnsi="Arial" w:cs="Arial"/>
          <w:vertAlign w:val="subscript"/>
        </w:rPr>
        <w:t>t-1</w:t>
      </w:r>
      <w:r w:rsidRPr="002952B6">
        <w:rPr>
          <w:rFonts w:ascii="Arial" w:hAnsi="Arial" w:cs="Arial"/>
        </w:rPr>
        <w:t xml:space="preserve"> + Φ</w:t>
      </w:r>
      <w:r w:rsidRPr="002952B6">
        <w:rPr>
          <w:rFonts w:ascii="Arial" w:hAnsi="Arial" w:cs="Arial"/>
          <w:vertAlign w:val="subscript"/>
        </w:rPr>
        <w:t>2</w:t>
      </w:r>
      <w:r w:rsidRPr="002952B6">
        <w:rPr>
          <w:rFonts w:ascii="Arial" w:hAnsi="Arial" w:cs="Arial"/>
        </w:rPr>
        <w:t>Y</w:t>
      </w:r>
      <w:r w:rsidRPr="002952B6">
        <w:rPr>
          <w:rFonts w:ascii="Arial" w:hAnsi="Arial" w:cs="Arial"/>
          <w:vertAlign w:val="subscript"/>
        </w:rPr>
        <w:t>t-2</w:t>
      </w:r>
      <w:r w:rsidRPr="002952B6">
        <w:rPr>
          <w:rFonts w:ascii="Arial" w:hAnsi="Arial" w:cs="Arial"/>
        </w:rPr>
        <w:t xml:space="preserve"> + θ</w:t>
      </w:r>
      <w:r w:rsidRPr="002952B6">
        <w:rPr>
          <w:rFonts w:ascii="Arial" w:hAnsi="Arial" w:cs="Arial"/>
          <w:vertAlign w:val="subscript"/>
        </w:rPr>
        <w:t>0</w:t>
      </w:r>
      <w:r w:rsidRPr="002952B6">
        <w:rPr>
          <w:rFonts w:ascii="Arial" w:hAnsi="Arial" w:cs="Arial"/>
        </w:rPr>
        <w:t xml:space="preserve"> + e</w:t>
      </w:r>
      <w:r w:rsidRPr="002952B6">
        <w:rPr>
          <w:rFonts w:ascii="Arial" w:hAnsi="Arial" w:cs="Arial"/>
          <w:vertAlign w:val="subscript"/>
        </w:rPr>
        <w:t>t</w:t>
      </w:r>
      <w:r w:rsidRPr="002952B6">
        <w:rPr>
          <w:rFonts w:ascii="Arial" w:hAnsi="Arial" w:cs="Arial"/>
        </w:rPr>
        <w:t>.</w:t>
      </w:r>
    </w:p>
    <w:p w:rsidR="002952B6" w:rsidRDefault="002952B6" w:rsidP="002952B6">
      <w:pPr>
        <w:spacing w:after="0" w:line="360" w:lineRule="auto"/>
        <w:rPr>
          <w:rFonts w:ascii="Arial" w:hAnsi="Arial" w:cs="Arial"/>
          <w:sz w:val="20"/>
          <w:szCs w:val="20"/>
        </w:rPr>
      </w:pPr>
      <w:r>
        <w:rPr>
          <w:rFonts w:ascii="Arial" w:hAnsi="Arial" w:cs="Arial"/>
          <w:sz w:val="20"/>
          <w:szCs w:val="20"/>
        </w:rPr>
        <w:t>Using raw data, the output is as follows:</w:t>
      </w:r>
    </w:p>
    <w:p w:rsidR="002952B6" w:rsidRDefault="002952B6" w:rsidP="002952B6">
      <w:pPr>
        <w:spacing w:after="0" w:line="360" w:lineRule="auto"/>
        <w:rPr>
          <w:rFonts w:ascii="Arial" w:hAnsi="Arial" w:cs="Arial"/>
        </w:rPr>
      </w:pPr>
      <w:r w:rsidRPr="002952B6">
        <w:rPr>
          <w:noProof/>
        </w:rPr>
        <w:drawing>
          <wp:inline distT="0" distB="0" distL="0" distR="0" wp14:anchorId="7FBEE002" wp14:editId="58A4AC8E">
            <wp:extent cx="5943600" cy="24618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461805"/>
                    </a:xfrm>
                    <a:prstGeom prst="rect">
                      <a:avLst/>
                    </a:prstGeom>
                    <a:noFill/>
                    <a:ln>
                      <a:noFill/>
                    </a:ln>
                  </pic:spPr>
                </pic:pic>
              </a:graphicData>
            </a:graphic>
          </wp:inline>
        </w:drawing>
      </w:r>
    </w:p>
    <w:p w:rsidR="002952B6" w:rsidRDefault="002952B6" w:rsidP="002952B6">
      <w:pPr>
        <w:spacing w:after="0" w:line="360" w:lineRule="auto"/>
        <w:rPr>
          <w:rFonts w:ascii="Arial" w:hAnsi="Arial" w:cs="Arial"/>
          <w:sz w:val="20"/>
          <w:szCs w:val="20"/>
        </w:rPr>
      </w:pPr>
      <w:r>
        <w:rPr>
          <w:rFonts w:ascii="Arial" w:hAnsi="Arial" w:cs="Arial"/>
          <w:sz w:val="20"/>
          <w:szCs w:val="20"/>
        </w:rPr>
        <w:lastRenderedPageBreak/>
        <w:t xml:space="preserve">We can see that R square is very close to one, which signifies that this model is a good fit of the data. </w:t>
      </w:r>
      <w:r w:rsidR="00FD32A6">
        <w:rPr>
          <w:rFonts w:ascii="Arial" w:hAnsi="Arial" w:cs="Arial"/>
          <w:sz w:val="20"/>
          <w:szCs w:val="20"/>
        </w:rPr>
        <w:t>The equation generated by this model is</w:t>
      </w:r>
      <w:r>
        <w:rPr>
          <w:rFonts w:ascii="Arial" w:hAnsi="Arial" w:cs="Arial"/>
          <w:sz w:val="20"/>
          <w:szCs w:val="20"/>
        </w:rPr>
        <w:t xml:space="preserve">: </w:t>
      </w:r>
      <w:proofErr w:type="spellStart"/>
      <w:proofErr w:type="gramStart"/>
      <w:r w:rsidRPr="002952B6">
        <w:rPr>
          <w:rFonts w:ascii="Arial" w:hAnsi="Arial" w:cs="Arial"/>
        </w:rPr>
        <w:t>Y</w:t>
      </w:r>
      <w:r w:rsidRPr="002952B6">
        <w:rPr>
          <w:rFonts w:ascii="Arial" w:hAnsi="Arial" w:cs="Arial"/>
          <w:vertAlign w:val="subscript"/>
        </w:rPr>
        <w:t>t</w:t>
      </w:r>
      <w:proofErr w:type="spellEnd"/>
      <w:proofErr w:type="gramEnd"/>
      <w:r w:rsidRPr="002952B6">
        <w:rPr>
          <w:rFonts w:ascii="Arial" w:hAnsi="Arial" w:cs="Arial"/>
        </w:rPr>
        <w:t xml:space="preserve"> = </w:t>
      </w:r>
      <w:r>
        <w:rPr>
          <w:rFonts w:ascii="Arial" w:hAnsi="Arial" w:cs="Arial"/>
        </w:rPr>
        <w:t>1.3575</w:t>
      </w:r>
      <w:r w:rsidRPr="002952B6">
        <w:rPr>
          <w:rFonts w:ascii="Arial" w:hAnsi="Arial" w:cs="Arial"/>
        </w:rPr>
        <w:t>Y</w:t>
      </w:r>
      <w:r w:rsidRPr="002952B6">
        <w:rPr>
          <w:rFonts w:ascii="Arial" w:hAnsi="Arial" w:cs="Arial"/>
          <w:vertAlign w:val="subscript"/>
        </w:rPr>
        <w:t>t-1</w:t>
      </w:r>
      <w:r>
        <w:rPr>
          <w:rFonts w:ascii="Arial" w:hAnsi="Arial" w:cs="Arial"/>
        </w:rPr>
        <w:t xml:space="preserve"> – 0.3754</w:t>
      </w:r>
      <w:r w:rsidRPr="002952B6">
        <w:rPr>
          <w:rFonts w:ascii="Arial" w:hAnsi="Arial" w:cs="Arial"/>
        </w:rPr>
        <w:t>Y</w:t>
      </w:r>
      <w:r w:rsidRPr="002952B6">
        <w:rPr>
          <w:rFonts w:ascii="Arial" w:hAnsi="Arial" w:cs="Arial"/>
          <w:vertAlign w:val="subscript"/>
        </w:rPr>
        <w:t>t-2</w:t>
      </w:r>
      <w:r w:rsidRPr="002952B6">
        <w:rPr>
          <w:rFonts w:ascii="Arial" w:hAnsi="Arial" w:cs="Arial"/>
        </w:rPr>
        <w:t xml:space="preserve"> + </w:t>
      </w:r>
      <w:r>
        <w:rPr>
          <w:rFonts w:ascii="Arial" w:hAnsi="Arial" w:cs="Arial"/>
        </w:rPr>
        <w:t>5856.4612</w:t>
      </w:r>
      <w:r w:rsidRPr="002952B6">
        <w:rPr>
          <w:rFonts w:ascii="Arial" w:hAnsi="Arial" w:cs="Arial"/>
        </w:rPr>
        <w:t xml:space="preserve"> + e</w:t>
      </w:r>
      <w:r w:rsidRPr="002952B6">
        <w:rPr>
          <w:rFonts w:ascii="Arial" w:hAnsi="Arial" w:cs="Arial"/>
          <w:vertAlign w:val="subscript"/>
        </w:rPr>
        <w:t>t</w:t>
      </w:r>
      <w:r w:rsidRPr="002952B6">
        <w:rPr>
          <w:rFonts w:ascii="Arial" w:hAnsi="Arial" w:cs="Arial"/>
        </w:rPr>
        <w:t>.</w:t>
      </w:r>
      <w:r>
        <w:rPr>
          <w:rFonts w:ascii="Arial" w:hAnsi="Arial" w:cs="Arial"/>
        </w:rPr>
        <w:t xml:space="preserve"> </w:t>
      </w:r>
      <w:r>
        <w:rPr>
          <w:rFonts w:ascii="Arial" w:hAnsi="Arial" w:cs="Arial"/>
          <w:sz w:val="20"/>
          <w:szCs w:val="20"/>
        </w:rPr>
        <w:t xml:space="preserve">Next, we will look at the </w:t>
      </w:r>
      <w:proofErr w:type="gramStart"/>
      <w:r>
        <w:rPr>
          <w:rFonts w:ascii="Arial" w:hAnsi="Arial" w:cs="Arial"/>
          <w:sz w:val="20"/>
          <w:szCs w:val="20"/>
        </w:rPr>
        <w:t>AR(</w:t>
      </w:r>
      <w:proofErr w:type="gramEnd"/>
      <w:r>
        <w:rPr>
          <w:rFonts w:ascii="Arial" w:hAnsi="Arial" w:cs="Arial"/>
          <w:sz w:val="20"/>
          <w:szCs w:val="20"/>
        </w:rPr>
        <w:t>1) model.</w:t>
      </w:r>
    </w:p>
    <w:p w:rsidR="002952B6" w:rsidRDefault="002952B6" w:rsidP="002952B6">
      <w:pPr>
        <w:spacing w:after="0" w:line="360" w:lineRule="auto"/>
        <w:rPr>
          <w:rFonts w:ascii="Arial" w:hAnsi="Arial" w:cs="Arial"/>
          <w:sz w:val="20"/>
          <w:szCs w:val="20"/>
        </w:rPr>
      </w:pPr>
    </w:p>
    <w:p w:rsidR="002952B6" w:rsidRPr="002952B6" w:rsidRDefault="002952B6" w:rsidP="002952B6">
      <w:pPr>
        <w:spacing w:after="0" w:line="360" w:lineRule="auto"/>
        <w:rPr>
          <w:rFonts w:ascii="Arial" w:hAnsi="Arial" w:cs="Arial"/>
          <w:i/>
        </w:rPr>
      </w:pPr>
      <w:proofErr w:type="gramStart"/>
      <w:r w:rsidRPr="002952B6">
        <w:rPr>
          <w:rFonts w:ascii="Arial" w:hAnsi="Arial" w:cs="Arial"/>
          <w:i/>
        </w:rPr>
        <w:t>AR(</w:t>
      </w:r>
      <w:proofErr w:type="gramEnd"/>
      <w:r w:rsidRPr="002952B6">
        <w:rPr>
          <w:rFonts w:ascii="Arial" w:hAnsi="Arial" w:cs="Arial"/>
          <w:i/>
        </w:rPr>
        <w:t>1)</w:t>
      </w:r>
      <w:r w:rsidRPr="002952B6">
        <w:rPr>
          <w:rFonts w:ascii="Arial" w:hAnsi="Arial" w:cs="Arial"/>
          <w:i/>
        </w:rPr>
        <w:tab/>
      </w:r>
    </w:p>
    <w:p w:rsidR="002952B6" w:rsidRDefault="002952B6" w:rsidP="002952B6">
      <w:pPr>
        <w:spacing w:after="0" w:line="360" w:lineRule="auto"/>
        <w:rPr>
          <w:rFonts w:ascii="Arial" w:hAnsi="Arial" w:cs="Arial"/>
        </w:rPr>
      </w:pPr>
      <w:proofErr w:type="spellStart"/>
      <w:proofErr w:type="gramStart"/>
      <w:r w:rsidRPr="002952B6">
        <w:rPr>
          <w:rFonts w:ascii="Arial" w:hAnsi="Arial" w:cs="Arial"/>
        </w:rPr>
        <w:t>Y</w:t>
      </w:r>
      <w:r w:rsidRPr="002952B6">
        <w:rPr>
          <w:rFonts w:ascii="Arial" w:hAnsi="Arial" w:cs="Arial"/>
          <w:vertAlign w:val="subscript"/>
        </w:rPr>
        <w:t>t</w:t>
      </w:r>
      <w:proofErr w:type="spellEnd"/>
      <w:proofErr w:type="gramEnd"/>
      <w:r w:rsidRPr="002952B6">
        <w:rPr>
          <w:rFonts w:ascii="Arial" w:hAnsi="Arial" w:cs="Arial"/>
        </w:rPr>
        <w:t xml:space="preserve"> = Φ</w:t>
      </w:r>
      <w:r w:rsidRPr="002952B6">
        <w:rPr>
          <w:rFonts w:ascii="Arial" w:hAnsi="Arial" w:cs="Arial"/>
          <w:vertAlign w:val="subscript"/>
        </w:rPr>
        <w:t>1</w:t>
      </w:r>
      <w:r w:rsidRPr="002952B6">
        <w:rPr>
          <w:rFonts w:ascii="Arial" w:hAnsi="Arial" w:cs="Arial"/>
        </w:rPr>
        <w:t>Y</w:t>
      </w:r>
      <w:r w:rsidRPr="002952B6">
        <w:rPr>
          <w:rFonts w:ascii="Arial" w:hAnsi="Arial" w:cs="Arial"/>
          <w:vertAlign w:val="subscript"/>
        </w:rPr>
        <w:t>t-1</w:t>
      </w:r>
      <w:r w:rsidRPr="002952B6">
        <w:rPr>
          <w:rFonts w:ascii="Arial" w:hAnsi="Arial" w:cs="Arial"/>
        </w:rPr>
        <w:t xml:space="preserve"> + θ</w:t>
      </w:r>
      <w:r w:rsidRPr="002952B6">
        <w:rPr>
          <w:rFonts w:ascii="Arial" w:hAnsi="Arial" w:cs="Arial"/>
          <w:vertAlign w:val="subscript"/>
        </w:rPr>
        <w:t>0</w:t>
      </w:r>
      <w:r w:rsidRPr="002952B6">
        <w:rPr>
          <w:rFonts w:ascii="Arial" w:hAnsi="Arial" w:cs="Arial"/>
        </w:rPr>
        <w:t xml:space="preserve"> + e</w:t>
      </w:r>
      <w:r w:rsidRPr="002952B6">
        <w:rPr>
          <w:rFonts w:ascii="Arial" w:hAnsi="Arial" w:cs="Arial"/>
          <w:vertAlign w:val="subscript"/>
        </w:rPr>
        <w:t>t</w:t>
      </w:r>
      <w:r w:rsidRPr="002952B6">
        <w:rPr>
          <w:rFonts w:ascii="Arial" w:hAnsi="Arial" w:cs="Arial"/>
        </w:rPr>
        <w:t xml:space="preserve"> </w:t>
      </w:r>
    </w:p>
    <w:p w:rsidR="002952B6" w:rsidRDefault="00C7686D" w:rsidP="002952B6">
      <w:pPr>
        <w:spacing w:after="0" w:line="360" w:lineRule="auto"/>
        <w:rPr>
          <w:rFonts w:ascii="Arial" w:hAnsi="Arial" w:cs="Arial"/>
          <w:sz w:val="20"/>
          <w:szCs w:val="20"/>
        </w:rPr>
      </w:pPr>
      <w:r>
        <w:rPr>
          <w:rFonts w:ascii="Arial" w:hAnsi="Arial" w:cs="Arial"/>
          <w:sz w:val="20"/>
          <w:szCs w:val="20"/>
        </w:rPr>
        <w:t>I used the</w:t>
      </w:r>
      <w:r w:rsidR="002952B6">
        <w:rPr>
          <w:rFonts w:ascii="Arial" w:hAnsi="Arial" w:cs="Arial"/>
          <w:sz w:val="20"/>
          <w:szCs w:val="20"/>
        </w:rPr>
        <w:t xml:space="preserve"> </w:t>
      </w:r>
      <w:r>
        <w:rPr>
          <w:rFonts w:ascii="Arial" w:hAnsi="Arial" w:cs="Arial"/>
          <w:sz w:val="20"/>
          <w:szCs w:val="20"/>
        </w:rPr>
        <w:t xml:space="preserve">first and second differences to model the data. However, </w:t>
      </w:r>
      <w:r w:rsidR="0019318E">
        <w:rPr>
          <w:rFonts w:ascii="Arial" w:hAnsi="Arial" w:cs="Arial"/>
          <w:sz w:val="20"/>
          <w:szCs w:val="20"/>
        </w:rPr>
        <w:t>since neither a</w:t>
      </w:r>
      <w:r>
        <w:rPr>
          <w:rFonts w:ascii="Arial" w:hAnsi="Arial" w:cs="Arial"/>
          <w:sz w:val="20"/>
          <w:szCs w:val="20"/>
        </w:rPr>
        <w:t xml:space="preserve">re a good fit, I will only include the better of the two in this report. The output is as follows: </w:t>
      </w:r>
    </w:p>
    <w:p w:rsidR="00C7686D" w:rsidRPr="002952B6" w:rsidRDefault="00C7686D" w:rsidP="002952B6">
      <w:pPr>
        <w:spacing w:after="0" w:line="360" w:lineRule="auto"/>
        <w:rPr>
          <w:rFonts w:ascii="Arial" w:hAnsi="Arial" w:cs="Arial"/>
        </w:rPr>
      </w:pPr>
      <w:r w:rsidRPr="00C7686D">
        <w:rPr>
          <w:noProof/>
        </w:rPr>
        <w:drawing>
          <wp:inline distT="0" distB="0" distL="0" distR="0" wp14:anchorId="7A41DD27" wp14:editId="4BCE1947">
            <wp:extent cx="5943600" cy="23713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371380"/>
                    </a:xfrm>
                    <a:prstGeom prst="rect">
                      <a:avLst/>
                    </a:prstGeom>
                    <a:noFill/>
                    <a:ln>
                      <a:noFill/>
                    </a:ln>
                  </pic:spPr>
                </pic:pic>
              </a:graphicData>
            </a:graphic>
          </wp:inline>
        </w:drawing>
      </w:r>
    </w:p>
    <w:p w:rsidR="002952B6" w:rsidRDefault="00C7686D" w:rsidP="002952B6">
      <w:pPr>
        <w:spacing w:after="0" w:line="360" w:lineRule="auto"/>
        <w:rPr>
          <w:rFonts w:ascii="Arial" w:hAnsi="Arial" w:cs="Arial"/>
        </w:rPr>
      </w:pPr>
      <w:r>
        <w:rPr>
          <w:rFonts w:ascii="Arial" w:hAnsi="Arial" w:cs="Arial"/>
          <w:sz w:val="20"/>
          <w:szCs w:val="20"/>
        </w:rPr>
        <w:t>Though this is the better of the two, we see that R square is still very far from one, which indicates that the data is not modeled accurately by this model. For more details on the output of the first difference, please refer to the Excel workbook attached.</w:t>
      </w:r>
    </w:p>
    <w:p w:rsidR="002952B6" w:rsidRDefault="002952B6" w:rsidP="002952B6">
      <w:pPr>
        <w:spacing w:after="0" w:line="360" w:lineRule="auto"/>
        <w:rPr>
          <w:rFonts w:ascii="Arial" w:hAnsi="Arial" w:cs="Arial"/>
        </w:rPr>
      </w:pPr>
    </w:p>
    <w:p w:rsidR="00C7686D" w:rsidRDefault="00C7686D" w:rsidP="00C7686D">
      <w:pPr>
        <w:rPr>
          <w:rFonts w:ascii="Arial" w:hAnsi="Arial" w:cs="Arial"/>
          <w:b/>
          <w:sz w:val="20"/>
          <w:szCs w:val="20"/>
        </w:rPr>
      </w:pPr>
      <w:r>
        <w:rPr>
          <w:rFonts w:ascii="Arial" w:hAnsi="Arial" w:cs="Arial"/>
          <w:b/>
          <w:sz w:val="20"/>
          <w:szCs w:val="20"/>
        </w:rPr>
        <w:t>Model Diagnostics</w:t>
      </w:r>
    </w:p>
    <w:p w:rsidR="002952B6" w:rsidRDefault="00FD32A6" w:rsidP="007217AD">
      <w:pPr>
        <w:rPr>
          <w:rFonts w:ascii="Arial" w:hAnsi="Arial" w:cs="Arial"/>
          <w:sz w:val="20"/>
          <w:szCs w:val="20"/>
        </w:rPr>
      </w:pPr>
      <w:r>
        <w:rPr>
          <w:rFonts w:ascii="Arial" w:hAnsi="Arial" w:cs="Arial"/>
          <w:sz w:val="20"/>
          <w:szCs w:val="20"/>
        </w:rPr>
        <w:tab/>
        <w:t xml:space="preserve">Figure 5 below are the residual plots from the </w:t>
      </w:r>
      <w:proofErr w:type="gramStart"/>
      <w:r>
        <w:rPr>
          <w:rFonts w:ascii="Arial" w:hAnsi="Arial" w:cs="Arial"/>
          <w:sz w:val="20"/>
          <w:szCs w:val="20"/>
        </w:rPr>
        <w:t>AR(</w:t>
      </w:r>
      <w:proofErr w:type="gramEnd"/>
      <w:r>
        <w:rPr>
          <w:rFonts w:ascii="Arial" w:hAnsi="Arial" w:cs="Arial"/>
          <w:sz w:val="20"/>
          <w:szCs w:val="20"/>
        </w:rPr>
        <w:t xml:space="preserve">2) model. The randomness of the points on the plots shows that this model </w:t>
      </w:r>
      <w:r w:rsidR="001C2AB4">
        <w:rPr>
          <w:rFonts w:ascii="Arial" w:hAnsi="Arial" w:cs="Arial"/>
          <w:sz w:val="20"/>
          <w:szCs w:val="20"/>
        </w:rPr>
        <w:t>is a good fit.</w:t>
      </w:r>
    </w:p>
    <w:p w:rsidR="001C2AB4" w:rsidRDefault="001C2AB4" w:rsidP="001C2AB4">
      <w:pPr>
        <w:jc w:val="center"/>
        <w:rPr>
          <w:rFonts w:ascii="Arial" w:hAnsi="Arial" w:cs="Arial"/>
          <w:b/>
          <w:sz w:val="20"/>
          <w:szCs w:val="20"/>
        </w:rPr>
      </w:pPr>
      <w:r w:rsidRPr="001C2AB4">
        <w:rPr>
          <w:rFonts w:ascii="Arial" w:hAnsi="Arial" w:cs="Arial"/>
          <w:b/>
          <w:sz w:val="20"/>
          <w:szCs w:val="20"/>
        </w:rPr>
        <w:t>Figure 5: Residual Plots</w:t>
      </w:r>
    </w:p>
    <w:p w:rsidR="001C2AB4" w:rsidRDefault="001C2AB4" w:rsidP="001C2AB4">
      <w:pPr>
        <w:jc w:val="center"/>
        <w:rPr>
          <w:rFonts w:ascii="Arial" w:hAnsi="Arial" w:cs="Arial"/>
          <w:b/>
          <w:sz w:val="20"/>
          <w:szCs w:val="20"/>
        </w:rPr>
      </w:pPr>
      <w:r>
        <w:rPr>
          <w:noProof/>
        </w:rPr>
        <w:drawing>
          <wp:inline distT="0" distB="0" distL="0" distR="0" wp14:anchorId="3754F700" wp14:editId="48BD94B4">
            <wp:extent cx="3538330" cy="1987826"/>
            <wp:effectExtent l="0" t="0" r="24130" b="127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C2AB4" w:rsidRDefault="001C2AB4" w:rsidP="001C2AB4">
      <w:pPr>
        <w:jc w:val="center"/>
        <w:rPr>
          <w:rFonts w:ascii="Arial" w:hAnsi="Arial" w:cs="Arial"/>
          <w:b/>
          <w:sz w:val="20"/>
          <w:szCs w:val="20"/>
        </w:rPr>
      </w:pPr>
      <w:r>
        <w:rPr>
          <w:noProof/>
        </w:rPr>
        <w:lastRenderedPageBreak/>
        <w:drawing>
          <wp:inline distT="0" distB="0" distL="0" distR="0" wp14:anchorId="5B39D2DB" wp14:editId="44AF8BBF">
            <wp:extent cx="3641697" cy="2043485"/>
            <wp:effectExtent l="0" t="0" r="16510" b="1397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C2AB4" w:rsidRDefault="00D2089F" w:rsidP="001C2AB4">
      <w:pPr>
        <w:rPr>
          <w:rFonts w:ascii="Arial" w:hAnsi="Arial" w:cs="Arial"/>
          <w:sz w:val="20"/>
          <w:szCs w:val="20"/>
        </w:rPr>
      </w:pPr>
      <w:r>
        <w:rPr>
          <w:rFonts w:ascii="Arial" w:hAnsi="Arial" w:cs="Arial"/>
          <w:sz w:val="20"/>
          <w:szCs w:val="20"/>
        </w:rPr>
        <w:t>Using the equation generated by this model, I calculated estimates of the median sales price for 2017.</w:t>
      </w:r>
    </w:p>
    <w:p w:rsidR="00D2089F" w:rsidRDefault="00D2089F" w:rsidP="001C2AB4">
      <w:pPr>
        <w:rPr>
          <w:rFonts w:ascii="Arial" w:hAnsi="Arial" w:cs="Arial"/>
          <w:sz w:val="20"/>
          <w:szCs w:val="20"/>
        </w:rPr>
      </w:pPr>
      <w:r w:rsidRPr="00D2089F">
        <w:rPr>
          <w:noProof/>
        </w:rPr>
        <w:drawing>
          <wp:inline distT="0" distB="0" distL="0" distR="0">
            <wp:extent cx="4460875" cy="34112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0875" cy="3411220"/>
                    </a:xfrm>
                    <a:prstGeom prst="rect">
                      <a:avLst/>
                    </a:prstGeom>
                    <a:noFill/>
                    <a:ln>
                      <a:noFill/>
                    </a:ln>
                  </pic:spPr>
                </pic:pic>
              </a:graphicData>
            </a:graphic>
          </wp:inline>
        </w:drawing>
      </w:r>
    </w:p>
    <w:p w:rsidR="001C2AB4" w:rsidRPr="00D2089F" w:rsidRDefault="00D2089F" w:rsidP="001C2AB4">
      <w:pPr>
        <w:rPr>
          <w:rFonts w:ascii="Arial" w:hAnsi="Arial" w:cs="Arial"/>
          <w:sz w:val="20"/>
          <w:szCs w:val="20"/>
        </w:rPr>
      </w:pPr>
      <w:r>
        <w:rPr>
          <w:rFonts w:ascii="Arial" w:hAnsi="Arial" w:cs="Arial"/>
          <w:sz w:val="20"/>
          <w:szCs w:val="20"/>
        </w:rPr>
        <w:t>With the exception of July 2016, the estimates are within +/- 2% of the actual data. For more details on the calculation, please see the attached Excel file.</w:t>
      </w:r>
    </w:p>
    <w:p w:rsidR="007217AD" w:rsidRDefault="007217AD" w:rsidP="007217AD">
      <w:pPr>
        <w:rPr>
          <w:rFonts w:ascii="Arial" w:hAnsi="Arial" w:cs="Arial"/>
          <w:b/>
          <w:sz w:val="20"/>
          <w:szCs w:val="20"/>
        </w:rPr>
      </w:pPr>
      <w:r>
        <w:rPr>
          <w:rFonts w:ascii="Arial" w:hAnsi="Arial" w:cs="Arial"/>
          <w:b/>
          <w:sz w:val="20"/>
          <w:szCs w:val="20"/>
        </w:rPr>
        <w:t>Conclusion</w:t>
      </w:r>
    </w:p>
    <w:p w:rsidR="007217AD" w:rsidRPr="00D2089F" w:rsidRDefault="00D2089F" w:rsidP="007217AD">
      <w:pPr>
        <w:rPr>
          <w:rFonts w:ascii="Arial" w:hAnsi="Arial" w:cs="Arial"/>
          <w:sz w:val="20"/>
          <w:szCs w:val="20"/>
        </w:rPr>
      </w:pPr>
      <w:r w:rsidRPr="00D2089F">
        <w:rPr>
          <w:rFonts w:ascii="Arial" w:hAnsi="Arial" w:cs="Arial"/>
          <w:sz w:val="20"/>
          <w:szCs w:val="20"/>
        </w:rPr>
        <w:tab/>
        <w:t xml:space="preserve">Based on the analysis, the </w:t>
      </w:r>
      <w:proofErr w:type="gramStart"/>
      <w:r w:rsidRPr="00D2089F">
        <w:rPr>
          <w:rFonts w:ascii="Arial" w:hAnsi="Arial" w:cs="Arial"/>
          <w:sz w:val="20"/>
          <w:szCs w:val="20"/>
        </w:rPr>
        <w:t>AR(</w:t>
      </w:r>
      <w:proofErr w:type="gramEnd"/>
      <w:r w:rsidRPr="00D2089F">
        <w:rPr>
          <w:rFonts w:ascii="Arial" w:hAnsi="Arial" w:cs="Arial"/>
          <w:sz w:val="20"/>
          <w:szCs w:val="20"/>
        </w:rPr>
        <w:t>2) model using raw data from December 2011 – November 2015 is the most appropriate model for future forecasting of sales prices for real estate in Seattle.</w:t>
      </w:r>
    </w:p>
    <w:sectPr w:rsidR="007217AD" w:rsidRPr="00D208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7AD"/>
    <w:rsid w:val="0005583A"/>
    <w:rsid w:val="00146EE7"/>
    <w:rsid w:val="0016427E"/>
    <w:rsid w:val="0019318E"/>
    <w:rsid w:val="001C2AB4"/>
    <w:rsid w:val="001D5C43"/>
    <w:rsid w:val="002952B6"/>
    <w:rsid w:val="00302084"/>
    <w:rsid w:val="00417916"/>
    <w:rsid w:val="005677F8"/>
    <w:rsid w:val="006A68A0"/>
    <w:rsid w:val="007217AD"/>
    <w:rsid w:val="00935E93"/>
    <w:rsid w:val="00A94226"/>
    <w:rsid w:val="00AC4C5F"/>
    <w:rsid w:val="00C738E3"/>
    <w:rsid w:val="00C7686D"/>
    <w:rsid w:val="00D2089F"/>
    <w:rsid w:val="00DE16F4"/>
    <w:rsid w:val="00E53B46"/>
    <w:rsid w:val="00E83292"/>
    <w:rsid w:val="00ED64B4"/>
    <w:rsid w:val="00F05006"/>
    <w:rsid w:val="00F62092"/>
    <w:rsid w:val="00FD3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1D7765-C7CC-4481-97BF-E87FD48A9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4226"/>
    <w:rPr>
      <w:color w:val="0000FF" w:themeColor="hyperlink"/>
      <w:u w:val="single"/>
    </w:rPr>
  </w:style>
  <w:style w:type="paragraph" w:styleId="BalloonText">
    <w:name w:val="Balloon Text"/>
    <w:basedOn w:val="Normal"/>
    <w:link w:val="BalloonTextChar"/>
    <w:uiPriority w:val="99"/>
    <w:semiHidden/>
    <w:unhideWhenUsed/>
    <w:rsid w:val="00A94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2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chart" Target="charts/chart3.xml"/><Relationship Id="rId12" Type="http://schemas.openxmlformats.org/officeDocument/2006/relationships/chart" Target="charts/chart6.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chart" Target="charts/chart5.xml"/><Relationship Id="rId5" Type="http://schemas.openxmlformats.org/officeDocument/2006/relationships/chart" Target="charts/chart1.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hyperlink" Target="https://www.trulia.com/real_estate/Seattle-Washington/market-trends/" TargetMode="External"/><Relationship Id="rId9" Type="http://schemas.openxmlformats.org/officeDocument/2006/relationships/image" Target="media/image1.emf"/><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seath-filer.milliman.com\Other\staff\VBoon\VEE%20Time%20Series%20Project\Real%20Estate%20Prices.xlsb"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seath-filer.milliman.com\Other\staff\VBoon\VEE%20Time%20Series%20Project\Real%20Estate%20Prices.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seath-filer.milliman.com\Other\staff\VBoon\VEE%20Time%20Series%20Project\Real%20Estate%20Prices.xlsb"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seath-filer.milliman.com\Other\staff\VBoon\VEE%20Time%20Series%20Project\Real%20Estate%20Prices.xlsb"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seath-filer.milliman.com\Other\staff\VBoon\VEE%20Time%20Series%20Project\Real%20Estate%20Prices.xlsb"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seath-filer.milliman.com\Other\staff\VBoon\VEE%20Time%20Series%20Project\Real%20Estate%20Prices.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a:pPr>
            <a:r>
              <a:rPr lang="en-US"/>
              <a:t>Median Sales</a:t>
            </a:r>
            <a:r>
              <a:rPr lang="en-US" baseline="0"/>
              <a:t> Price of Real Estate in Seattle</a:t>
            </a:r>
            <a:endParaRPr lang="en-US"/>
          </a:p>
        </c:rich>
      </c:tx>
      <c:overlay val="0"/>
    </c:title>
    <c:autoTitleDeleted val="0"/>
    <c:plotArea>
      <c:layout>
        <c:manualLayout>
          <c:layoutTarget val="inner"/>
          <c:xMode val="edge"/>
          <c:yMode val="edge"/>
          <c:x val="8.9016307576065032E-2"/>
          <c:y val="0.18127023203785689"/>
          <c:w val="0.72077269195933147"/>
          <c:h val="0.61254629629629631"/>
        </c:manualLayout>
      </c:layout>
      <c:lineChart>
        <c:grouping val="standard"/>
        <c:varyColors val="0"/>
        <c:ser>
          <c:idx val="0"/>
          <c:order val="0"/>
          <c:tx>
            <c:v>Sale Prices</c:v>
          </c:tx>
          <c:marker>
            <c:symbol val="none"/>
          </c:marker>
          <c:cat>
            <c:numRef>
              <c:f>Data!$B$7:$B$66</c:f>
              <c:numCache>
                <c:formatCode>mmm\-yy</c:formatCode>
                <c:ptCount val="60"/>
                <c:pt idx="0">
                  <c:v>40878</c:v>
                </c:pt>
                <c:pt idx="1">
                  <c:v>40909</c:v>
                </c:pt>
                <c:pt idx="2">
                  <c:v>40940</c:v>
                </c:pt>
                <c:pt idx="3">
                  <c:v>40969</c:v>
                </c:pt>
                <c:pt idx="4">
                  <c:v>41000</c:v>
                </c:pt>
                <c:pt idx="5">
                  <c:v>41030</c:v>
                </c:pt>
                <c:pt idx="6">
                  <c:v>41061</c:v>
                </c:pt>
                <c:pt idx="7">
                  <c:v>41091</c:v>
                </c:pt>
                <c:pt idx="8">
                  <c:v>41122</c:v>
                </c:pt>
                <c:pt idx="9">
                  <c:v>41153</c:v>
                </c:pt>
                <c:pt idx="10">
                  <c:v>41183</c:v>
                </c:pt>
                <c:pt idx="11">
                  <c:v>41214</c:v>
                </c:pt>
                <c:pt idx="12">
                  <c:v>41244</c:v>
                </c:pt>
                <c:pt idx="13">
                  <c:v>41275</c:v>
                </c:pt>
                <c:pt idx="14">
                  <c:v>41306</c:v>
                </c:pt>
                <c:pt idx="15">
                  <c:v>41334</c:v>
                </c:pt>
                <c:pt idx="16">
                  <c:v>41365</c:v>
                </c:pt>
                <c:pt idx="17">
                  <c:v>41395</c:v>
                </c:pt>
                <c:pt idx="18">
                  <c:v>41426</c:v>
                </c:pt>
                <c:pt idx="19">
                  <c:v>41456</c:v>
                </c:pt>
                <c:pt idx="20">
                  <c:v>41487</c:v>
                </c:pt>
                <c:pt idx="21">
                  <c:v>41518</c:v>
                </c:pt>
                <c:pt idx="22">
                  <c:v>41548</c:v>
                </c:pt>
                <c:pt idx="23">
                  <c:v>41579</c:v>
                </c:pt>
                <c:pt idx="24">
                  <c:v>41609</c:v>
                </c:pt>
                <c:pt idx="25">
                  <c:v>41640</c:v>
                </c:pt>
                <c:pt idx="26">
                  <c:v>41671</c:v>
                </c:pt>
                <c:pt idx="27">
                  <c:v>41699</c:v>
                </c:pt>
                <c:pt idx="28">
                  <c:v>41730</c:v>
                </c:pt>
                <c:pt idx="29">
                  <c:v>41760</c:v>
                </c:pt>
                <c:pt idx="30">
                  <c:v>41791</c:v>
                </c:pt>
                <c:pt idx="31">
                  <c:v>41821</c:v>
                </c:pt>
                <c:pt idx="32">
                  <c:v>41852</c:v>
                </c:pt>
                <c:pt idx="33">
                  <c:v>41883</c:v>
                </c:pt>
                <c:pt idx="34">
                  <c:v>41913</c:v>
                </c:pt>
                <c:pt idx="35">
                  <c:v>41944</c:v>
                </c:pt>
                <c:pt idx="36">
                  <c:v>41974</c:v>
                </c:pt>
                <c:pt idx="37">
                  <c:v>42005</c:v>
                </c:pt>
                <c:pt idx="38">
                  <c:v>42036</c:v>
                </c:pt>
                <c:pt idx="39">
                  <c:v>42064</c:v>
                </c:pt>
                <c:pt idx="40">
                  <c:v>42095</c:v>
                </c:pt>
                <c:pt idx="41">
                  <c:v>42125</c:v>
                </c:pt>
                <c:pt idx="42">
                  <c:v>42156</c:v>
                </c:pt>
                <c:pt idx="43">
                  <c:v>42186</c:v>
                </c:pt>
                <c:pt idx="44">
                  <c:v>42217</c:v>
                </c:pt>
                <c:pt idx="45">
                  <c:v>42248</c:v>
                </c:pt>
                <c:pt idx="46">
                  <c:v>42278</c:v>
                </c:pt>
                <c:pt idx="47">
                  <c:v>42309</c:v>
                </c:pt>
                <c:pt idx="48">
                  <c:v>42339</c:v>
                </c:pt>
                <c:pt idx="49">
                  <c:v>42370</c:v>
                </c:pt>
                <c:pt idx="50">
                  <c:v>42401</c:v>
                </c:pt>
                <c:pt idx="51">
                  <c:v>42430</c:v>
                </c:pt>
                <c:pt idx="52">
                  <c:v>42461</c:v>
                </c:pt>
                <c:pt idx="53">
                  <c:v>42491</c:v>
                </c:pt>
                <c:pt idx="54">
                  <c:v>42522</c:v>
                </c:pt>
                <c:pt idx="55">
                  <c:v>42552</c:v>
                </c:pt>
                <c:pt idx="56">
                  <c:v>42583</c:v>
                </c:pt>
                <c:pt idx="57">
                  <c:v>42614</c:v>
                </c:pt>
                <c:pt idx="58">
                  <c:v>42644</c:v>
                </c:pt>
                <c:pt idx="59">
                  <c:v>42675</c:v>
                </c:pt>
              </c:numCache>
            </c:numRef>
          </c:cat>
          <c:val>
            <c:numRef>
              <c:f>Data!$C$7:$C$66</c:f>
              <c:numCache>
                <c:formatCode>"$"#,##0</c:formatCode>
                <c:ptCount val="60"/>
                <c:pt idx="0">
                  <c:v>350000</c:v>
                </c:pt>
                <c:pt idx="1">
                  <c:v>342375</c:v>
                </c:pt>
                <c:pt idx="2">
                  <c:v>341000</c:v>
                </c:pt>
                <c:pt idx="3">
                  <c:v>342000</c:v>
                </c:pt>
                <c:pt idx="4">
                  <c:v>357250</c:v>
                </c:pt>
                <c:pt idx="5">
                  <c:v>380250</c:v>
                </c:pt>
                <c:pt idx="6">
                  <c:v>390500</c:v>
                </c:pt>
                <c:pt idx="7">
                  <c:v>392500</c:v>
                </c:pt>
                <c:pt idx="8">
                  <c:v>390250</c:v>
                </c:pt>
                <c:pt idx="9">
                  <c:v>389000</c:v>
                </c:pt>
                <c:pt idx="10">
                  <c:v>384000</c:v>
                </c:pt>
                <c:pt idx="11">
                  <c:v>380000</c:v>
                </c:pt>
                <c:pt idx="12">
                  <c:v>385500</c:v>
                </c:pt>
                <c:pt idx="13">
                  <c:v>387500</c:v>
                </c:pt>
                <c:pt idx="14">
                  <c:v>380000</c:v>
                </c:pt>
                <c:pt idx="15">
                  <c:v>378000</c:v>
                </c:pt>
                <c:pt idx="16">
                  <c:v>385250</c:v>
                </c:pt>
                <c:pt idx="17">
                  <c:v>400600</c:v>
                </c:pt>
                <c:pt idx="18">
                  <c:v>414000</c:v>
                </c:pt>
                <c:pt idx="19">
                  <c:v>420000</c:v>
                </c:pt>
                <c:pt idx="20">
                  <c:v>425000</c:v>
                </c:pt>
                <c:pt idx="21">
                  <c:v>427100</c:v>
                </c:pt>
                <c:pt idx="22">
                  <c:v>429950</c:v>
                </c:pt>
                <c:pt idx="23">
                  <c:v>425000</c:v>
                </c:pt>
                <c:pt idx="24">
                  <c:v>423000</c:v>
                </c:pt>
                <c:pt idx="25">
                  <c:v>423000</c:v>
                </c:pt>
                <c:pt idx="26">
                  <c:v>420000</c:v>
                </c:pt>
                <c:pt idx="27">
                  <c:v>425000</c:v>
                </c:pt>
                <c:pt idx="28">
                  <c:v>420000</c:v>
                </c:pt>
                <c:pt idx="29">
                  <c:v>424500</c:v>
                </c:pt>
                <c:pt idx="30">
                  <c:v>432750</c:v>
                </c:pt>
                <c:pt idx="31">
                  <c:v>446000</c:v>
                </c:pt>
                <c:pt idx="32">
                  <c:v>457750</c:v>
                </c:pt>
                <c:pt idx="33">
                  <c:v>450000</c:v>
                </c:pt>
                <c:pt idx="34">
                  <c:v>449000</c:v>
                </c:pt>
                <c:pt idx="35">
                  <c:v>450000</c:v>
                </c:pt>
                <c:pt idx="36">
                  <c:v>455000</c:v>
                </c:pt>
                <c:pt idx="37">
                  <c:v>453250</c:v>
                </c:pt>
                <c:pt idx="38">
                  <c:v>452500</c:v>
                </c:pt>
                <c:pt idx="39">
                  <c:v>451000</c:v>
                </c:pt>
                <c:pt idx="40">
                  <c:v>459950</c:v>
                </c:pt>
                <c:pt idx="41">
                  <c:v>475000</c:v>
                </c:pt>
                <c:pt idx="42">
                  <c:v>486350</c:v>
                </c:pt>
                <c:pt idx="43">
                  <c:v>500000</c:v>
                </c:pt>
                <c:pt idx="44">
                  <c:v>500500</c:v>
                </c:pt>
                <c:pt idx="45">
                  <c:v>509000</c:v>
                </c:pt>
                <c:pt idx="46">
                  <c:v>499000</c:v>
                </c:pt>
                <c:pt idx="47">
                  <c:v>494000</c:v>
                </c:pt>
                <c:pt idx="48">
                  <c:v>497475</c:v>
                </c:pt>
                <c:pt idx="49">
                  <c:v>506325</c:v>
                </c:pt>
                <c:pt idx="50">
                  <c:v>523975</c:v>
                </c:pt>
                <c:pt idx="51">
                  <c:v>520000</c:v>
                </c:pt>
                <c:pt idx="52">
                  <c:v>537555</c:v>
                </c:pt>
                <c:pt idx="53">
                  <c:v>549950</c:v>
                </c:pt>
                <c:pt idx="54">
                  <c:v>550000</c:v>
                </c:pt>
                <c:pt idx="55">
                  <c:v>563000</c:v>
                </c:pt>
                <c:pt idx="56">
                  <c:v>566000</c:v>
                </c:pt>
                <c:pt idx="57">
                  <c:v>555750</c:v>
                </c:pt>
                <c:pt idx="58">
                  <c:v>550000</c:v>
                </c:pt>
                <c:pt idx="59">
                  <c:v>550000</c:v>
                </c:pt>
              </c:numCache>
            </c:numRef>
          </c:val>
          <c:smooth val="0"/>
        </c:ser>
        <c:dLbls>
          <c:showLegendKey val="0"/>
          <c:showVal val="0"/>
          <c:showCatName val="0"/>
          <c:showSerName val="0"/>
          <c:showPercent val="0"/>
          <c:showBubbleSize val="0"/>
        </c:dLbls>
        <c:smooth val="0"/>
        <c:axId val="215589440"/>
        <c:axId val="438009968"/>
      </c:lineChart>
      <c:dateAx>
        <c:axId val="215589440"/>
        <c:scaling>
          <c:orientation val="minMax"/>
        </c:scaling>
        <c:delete val="0"/>
        <c:axPos val="b"/>
        <c:numFmt formatCode="mmm\-yy" sourceLinked="1"/>
        <c:majorTickMark val="out"/>
        <c:minorTickMark val="none"/>
        <c:tickLblPos val="nextTo"/>
        <c:crossAx val="438009968"/>
        <c:crosses val="autoZero"/>
        <c:auto val="1"/>
        <c:lblOffset val="100"/>
        <c:baseTimeUnit val="months"/>
      </c:dateAx>
      <c:valAx>
        <c:axId val="438009968"/>
        <c:scaling>
          <c:orientation val="minMax"/>
        </c:scaling>
        <c:delete val="0"/>
        <c:axPos val="l"/>
        <c:majorGridlines/>
        <c:numFmt formatCode="&quot;$&quot;#,##0" sourceLinked="1"/>
        <c:majorTickMark val="out"/>
        <c:minorTickMark val="none"/>
        <c:tickLblPos val="nextTo"/>
        <c:crossAx val="215589440"/>
        <c:crosses val="autoZero"/>
        <c:crossBetween val="between"/>
      </c:valAx>
    </c:plotArea>
    <c:legend>
      <c:legendPos val="r"/>
      <c:layout>
        <c:manualLayout>
          <c:xMode val="edge"/>
          <c:yMode val="edge"/>
          <c:x val="0.76089827256455833"/>
          <c:y val="0.38513892189074705"/>
          <c:w val="0.23723585032640152"/>
          <c:h val="0.21202532293289181"/>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10184274719443333"/>
          <c:y val="0.12611691083049853"/>
          <c:w val="0.81767429285476989"/>
          <c:h val="0.71964019917817013"/>
        </c:manualLayout>
      </c:layout>
      <c:lineChart>
        <c:grouping val="standard"/>
        <c:varyColors val="0"/>
        <c:ser>
          <c:idx val="0"/>
          <c:order val="0"/>
          <c:tx>
            <c:v>Sample Autocorrelation</c:v>
          </c:tx>
          <c:marker>
            <c:symbol val="none"/>
          </c:marker>
          <c:val>
            <c:numRef>
              <c:f>Autocorrelation!$H$5:$H$63</c:f>
              <c:numCache>
                <c:formatCode>_(* #,##0.00000_);_(* \(#,##0.00000\);_(* "-"??_);_(@_)</c:formatCode>
                <c:ptCount val="59"/>
                <c:pt idx="0">
                  <c:v>0.94740911746851775</c:v>
                </c:pt>
                <c:pt idx="1">
                  <c:v>0.88315192589884906</c:v>
                </c:pt>
                <c:pt idx="2">
                  <c:v>0.81186386153547407</c:v>
                </c:pt>
                <c:pt idx="3">
                  <c:v>0.73550152156076554</c:v>
                </c:pt>
                <c:pt idx="4">
                  <c:v>0.66831481411926996</c:v>
                </c:pt>
                <c:pt idx="5">
                  <c:v>0.61654165751602352</c:v>
                </c:pt>
                <c:pt idx="6">
                  <c:v>0.57107824325375878</c:v>
                </c:pt>
                <c:pt idx="7">
                  <c:v>0.53150457278780916</c:v>
                </c:pt>
                <c:pt idx="8">
                  <c:v>0.49909786083647345</c:v>
                </c:pt>
                <c:pt idx="9">
                  <c:v>0.46234829831908569</c:v>
                </c:pt>
                <c:pt idx="10">
                  <c:v>0.4277183991866963</c:v>
                </c:pt>
                <c:pt idx="11">
                  <c:v>0.38992671490997782</c:v>
                </c:pt>
                <c:pt idx="12">
                  <c:v>0.34916896884131232</c:v>
                </c:pt>
                <c:pt idx="13">
                  <c:v>0.30009111240139047</c:v>
                </c:pt>
                <c:pt idx="14">
                  <c:v>0.23863399580938946</c:v>
                </c:pt>
                <c:pt idx="15">
                  <c:v>0.1799431244731364</c:v>
                </c:pt>
                <c:pt idx="16">
                  <c:v>0.12621177262892211</c:v>
                </c:pt>
                <c:pt idx="17">
                  <c:v>8.7301984695488097E-2</c:v>
                </c:pt>
                <c:pt idx="18">
                  <c:v>5.8052183586163181E-2</c:v>
                </c:pt>
                <c:pt idx="19">
                  <c:v>3.763422356268508E-2</c:v>
                </c:pt>
                <c:pt idx="20">
                  <c:v>2.2472366047015434E-2</c:v>
                </c:pt>
                <c:pt idx="21">
                  <c:v>6.4196325268092592E-3</c:v>
                </c:pt>
                <c:pt idx="22">
                  <c:v>-1.0131032652479761E-2</c:v>
                </c:pt>
                <c:pt idx="23">
                  <c:v>-3.3908773960089053E-2</c:v>
                </c:pt>
                <c:pt idx="24">
                  <c:v>-6.0114493569658672E-2</c:v>
                </c:pt>
                <c:pt idx="25">
                  <c:v>-9.0009140074337399E-2</c:v>
                </c:pt>
                <c:pt idx="26">
                  <c:v>-0.12375000360085828</c:v>
                </c:pt>
                <c:pt idx="27">
                  <c:v>-0.159579240563929</c:v>
                </c:pt>
                <c:pt idx="28">
                  <c:v>-0.191821836048853</c:v>
                </c:pt>
                <c:pt idx="29">
                  <c:v>-0.21450108614342356</c:v>
                </c:pt>
                <c:pt idx="30">
                  <c:v>-0.22952870971845318</c:v>
                </c:pt>
                <c:pt idx="31">
                  <c:v>-0.23792011140756361</c:v>
                </c:pt>
                <c:pt idx="32">
                  <c:v>-0.24578219454949976</c:v>
                </c:pt>
                <c:pt idx="33">
                  <c:v>-0.25632008747553053</c:v>
                </c:pt>
                <c:pt idx="34">
                  <c:v>-0.27013593055144314</c:v>
                </c:pt>
                <c:pt idx="35">
                  <c:v>-0.28633516113911056</c:v>
                </c:pt>
                <c:pt idx="36">
                  <c:v>-0.3056364375316073</c:v>
                </c:pt>
                <c:pt idx="37">
                  <c:v>-0.33203057810163417</c:v>
                </c:pt>
                <c:pt idx="38">
                  <c:v>-0.35996535994363321</c:v>
                </c:pt>
                <c:pt idx="39">
                  <c:v>-0.38752419687713691</c:v>
                </c:pt>
                <c:pt idx="40">
                  <c:v>-0.4080934369501793</c:v>
                </c:pt>
                <c:pt idx="41">
                  <c:v>-0.41737501956942152</c:v>
                </c:pt>
                <c:pt idx="42">
                  <c:v>-0.41371462432224942</c:v>
                </c:pt>
                <c:pt idx="43">
                  <c:v>-0.39828945177421093</c:v>
                </c:pt>
                <c:pt idx="44">
                  <c:v>-0.38069268007968343</c:v>
                </c:pt>
                <c:pt idx="45">
                  <c:v>-0.36243424680761682</c:v>
                </c:pt>
                <c:pt idx="46">
                  <c:v>-0.35346102680367614</c:v>
                </c:pt>
                <c:pt idx="47">
                  <c:v>-0.34777612940105929</c:v>
                </c:pt>
                <c:pt idx="48">
                  <c:v>-0.34040679323382234</c:v>
                </c:pt>
                <c:pt idx="49">
                  <c:v>-0.33226688814585886</c:v>
                </c:pt>
                <c:pt idx="50">
                  <c:v>-0.32057473305470202</c:v>
                </c:pt>
                <c:pt idx="51">
                  <c:v>-0.3110932769335033</c:v>
                </c:pt>
                <c:pt idx="52">
                  <c:v>-0.29393708601222829</c:v>
                </c:pt>
                <c:pt idx="53">
                  <c:v>-0.2694285879069081</c:v>
                </c:pt>
                <c:pt idx="54">
                  <c:v>-0.23937723973984384</c:v>
                </c:pt>
                <c:pt idx="55">
                  <c:v>-0.19345158146236191</c:v>
                </c:pt>
                <c:pt idx="56">
                  <c:v>-0.13974024503988955</c:v>
                </c:pt>
                <c:pt idx="57">
                  <c:v>-9.0005597273760063E-2</c:v>
                </c:pt>
                <c:pt idx="58">
                  <c:v>-4.3273333544796934E-2</c:v>
                </c:pt>
              </c:numCache>
            </c:numRef>
          </c:val>
          <c:smooth val="0"/>
        </c:ser>
        <c:dLbls>
          <c:showLegendKey val="0"/>
          <c:showVal val="0"/>
          <c:showCatName val="0"/>
          <c:showSerName val="0"/>
          <c:showPercent val="0"/>
          <c:showBubbleSize val="0"/>
        </c:dLbls>
        <c:smooth val="0"/>
        <c:axId val="451743776"/>
        <c:axId val="451744336"/>
      </c:lineChart>
      <c:catAx>
        <c:axId val="451743776"/>
        <c:scaling>
          <c:orientation val="minMax"/>
        </c:scaling>
        <c:delete val="0"/>
        <c:axPos val="b"/>
        <c:title>
          <c:tx>
            <c:rich>
              <a:bodyPr/>
              <a:lstStyle/>
              <a:p>
                <a:pPr>
                  <a:defRPr/>
                </a:pPr>
                <a:r>
                  <a:rPr lang="en-US" sz="1200"/>
                  <a:t>Lag</a:t>
                </a:r>
              </a:p>
            </c:rich>
          </c:tx>
          <c:layout>
            <c:manualLayout>
              <c:xMode val="edge"/>
              <c:yMode val="edge"/>
              <c:x val="0.45898365241243233"/>
              <c:y val="0.86414791127741675"/>
            </c:manualLayout>
          </c:layout>
          <c:overlay val="0"/>
        </c:title>
        <c:majorTickMark val="out"/>
        <c:minorTickMark val="none"/>
        <c:tickLblPos val="nextTo"/>
        <c:crossAx val="451744336"/>
        <c:crosses val="autoZero"/>
        <c:auto val="1"/>
        <c:lblAlgn val="ctr"/>
        <c:lblOffset val="100"/>
        <c:noMultiLvlLbl val="0"/>
      </c:catAx>
      <c:valAx>
        <c:axId val="451744336"/>
        <c:scaling>
          <c:orientation val="minMax"/>
        </c:scaling>
        <c:delete val="0"/>
        <c:axPos val="l"/>
        <c:majorGridlines/>
        <c:numFmt formatCode="_(* #,##0.00000_);_(* \(#,##0.00000\);_(* &quot;-&quot;??_);_(@_)" sourceLinked="1"/>
        <c:majorTickMark val="out"/>
        <c:minorTickMark val="none"/>
        <c:tickLblPos val="nextTo"/>
        <c:crossAx val="45174377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9.5283504499696872E-2"/>
          <c:y val="0.18842592592592591"/>
          <c:w val="0.85964245278163764"/>
          <c:h val="0.72487581464033934"/>
        </c:manualLayout>
      </c:layout>
      <c:lineChart>
        <c:grouping val="standard"/>
        <c:varyColors val="0"/>
        <c:ser>
          <c:idx val="0"/>
          <c:order val="0"/>
          <c:tx>
            <c:v>Sample Autocorrelation of First Differences</c:v>
          </c:tx>
          <c:marker>
            <c:symbol val="none"/>
          </c:marker>
          <c:val>
            <c:numRef>
              <c:f>Differences!$M$5:$M$62</c:f>
              <c:numCache>
                <c:formatCode>_(* #,##0.0000_);_(* \(#,##0.0000\);_(* "-"??_);_(@_)</c:formatCode>
                <c:ptCount val="58"/>
                <c:pt idx="0">
                  <c:v>0.3529775163158389</c:v>
                </c:pt>
                <c:pt idx="1">
                  <c:v>3.8962705390697183E-2</c:v>
                </c:pt>
                <c:pt idx="2">
                  <c:v>-0.16990151330795342</c:v>
                </c:pt>
                <c:pt idx="3">
                  <c:v>-0.30860890615898012</c:v>
                </c:pt>
                <c:pt idx="4">
                  <c:v>-0.17918003438144106</c:v>
                </c:pt>
                <c:pt idx="5">
                  <c:v>-0.30598281104541764</c:v>
                </c:pt>
                <c:pt idx="6">
                  <c:v>-0.1253206081566465</c:v>
                </c:pt>
                <c:pt idx="7">
                  <c:v>-0.1592121945229244</c:v>
                </c:pt>
                <c:pt idx="8">
                  <c:v>-2.675366029942116E-2</c:v>
                </c:pt>
                <c:pt idx="9">
                  <c:v>9.9303535984211461E-2</c:v>
                </c:pt>
                <c:pt idx="10">
                  <c:v>0.21182698998079502</c:v>
                </c:pt>
                <c:pt idx="11">
                  <c:v>0.30173696368349295</c:v>
                </c:pt>
                <c:pt idx="12">
                  <c:v>0.29963166199138935</c:v>
                </c:pt>
                <c:pt idx="13">
                  <c:v>0.1400427767391618</c:v>
                </c:pt>
                <c:pt idx="14">
                  <c:v>-0.14914689724940583</c:v>
                </c:pt>
                <c:pt idx="15">
                  <c:v>-0.27518014575438821</c:v>
                </c:pt>
                <c:pt idx="16">
                  <c:v>-0.28624243490140089</c:v>
                </c:pt>
                <c:pt idx="17">
                  <c:v>-4.9695174336586316E-2</c:v>
                </c:pt>
                <c:pt idx="18">
                  <c:v>-6.8943942698096269E-2</c:v>
                </c:pt>
                <c:pt idx="19">
                  <c:v>-3.3049506081409503E-2</c:v>
                </c:pt>
                <c:pt idx="20">
                  <c:v>-2.2227476327321308E-2</c:v>
                </c:pt>
                <c:pt idx="21">
                  <c:v>-6.6617625955950324E-3</c:v>
                </c:pt>
                <c:pt idx="22">
                  <c:v>0.18258051660841279</c:v>
                </c:pt>
                <c:pt idx="23">
                  <c:v>0.14849176303728695</c:v>
                </c:pt>
                <c:pt idx="24">
                  <c:v>0.16406241014520162</c:v>
                </c:pt>
                <c:pt idx="25">
                  <c:v>2.7073074243649523E-2</c:v>
                </c:pt>
                <c:pt idx="26">
                  <c:v>-7.7362902325188318E-2</c:v>
                </c:pt>
                <c:pt idx="27">
                  <c:v>-0.13716601309034829</c:v>
                </c:pt>
                <c:pt idx="28">
                  <c:v>-0.21253842271520543</c:v>
                </c:pt>
                <c:pt idx="29">
                  <c:v>-0.12200670694086101</c:v>
                </c:pt>
                <c:pt idx="30">
                  <c:v>-1.8021924865821846E-2</c:v>
                </c:pt>
                <c:pt idx="31">
                  <c:v>6.1987063744658753E-2</c:v>
                </c:pt>
                <c:pt idx="32">
                  <c:v>3.4876253689273939E-2</c:v>
                </c:pt>
                <c:pt idx="33">
                  <c:v>1.2483512419390578E-2</c:v>
                </c:pt>
                <c:pt idx="34">
                  <c:v>9.4596963020849856E-2</c:v>
                </c:pt>
                <c:pt idx="35">
                  <c:v>0.18987831639279623</c:v>
                </c:pt>
                <c:pt idx="36">
                  <c:v>0.17108583797310029</c:v>
                </c:pt>
                <c:pt idx="37">
                  <c:v>6.5442628884100879E-2</c:v>
                </c:pt>
                <c:pt idx="38">
                  <c:v>-0.10471990340728854</c:v>
                </c:pt>
                <c:pt idx="39">
                  <c:v>-0.15821801553847098</c:v>
                </c:pt>
                <c:pt idx="40">
                  <c:v>-0.22746808613146319</c:v>
                </c:pt>
                <c:pt idx="41">
                  <c:v>-0.19576351256161353</c:v>
                </c:pt>
                <c:pt idx="42">
                  <c:v>2.5396134059142279E-2</c:v>
                </c:pt>
                <c:pt idx="43">
                  <c:v>6.0824945083862082E-2</c:v>
                </c:pt>
                <c:pt idx="44">
                  <c:v>0.10447307254636005</c:v>
                </c:pt>
                <c:pt idx="45">
                  <c:v>7.131598077431861E-2</c:v>
                </c:pt>
                <c:pt idx="46">
                  <c:v>9.0044372283262009E-2</c:v>
                </c:pt>
                <c:pt idx="47">
                  <c:v>0.10328633095664749</c:v>
                </c:pt>
                <c:pt idx="48">
                  <c:v>2.8213566688891734E-2</c:v>
                </c:pt>
                <c:pt idx="49">
                  <c:v>6.3522001536299305E-2</c:v>
                </c:pt>
                <c:pt idx="50">
                  <c:v>-4.1413307033141653E-2</c:v>
                </c:pt>
                <c:pt idx="51">
                  <c:v>-0.12345456407435575</c:v>
                </c:pt>
                <c:pt idx="52">
                  <c:v>-0.1053453112770605</c:v>
                </c:pt>
                <c:pt idx="53">
                  <c:v>-6.9679806094167629E-2</c:v>
                </c:pt>
                <c:pt idx="54">
                  <c:v>1.4408195057892495E-2</c:v>
                </c:pt>
                <c:pt idx="55">
                  <c:v>5.7122074145576643E-2</c:v>
                </c:pt>
                <c:pt idx="56">
                  <c:v>3.3054044641199334E-2</c:v>
                </c:pt>
                <c:pt idx="57">
                  <c:v>1.0564335854214466E-2</c:v>
                </c:pt>
              </c:numCache>
            </c:numRef>
          </c:val>
          <c:smooth val="0"/>
        </c:ser>
        <c:dLbls>
          <c:showLegendKey val="0"/>
          <c:showVal val="0"/>
          <c:showCatName val="0"/>
          <c:showSerName val="0"/>
          <c:showPercent val="0"/>
          <c:showBubbleSize val="0"/>
        </c:dLbls>
        <c:smooth val="0"/>
        <c:axId val="451746576"/>
        <c:axId val="451747136"/>
      </c:lineChart>
      <c:catAx>
        <c:axId val="451746576"/>
        <c:scaling>
          <c:orientation val="minMax"/>
        </c:scaling>
        <c:delete val="0"/>
        <c:axPos val="b"/>
        <c:title>
          <c:tx>
            <c:rich>
              <a:bodyPr/>
              <a:lstStyle/>
              <a:p>
                <a:pPr>
                  <a:defRPr/>
                </a:pPr>
                <a:r>
                  <a:rPr lang="en-US"/>
                  <a:t>Lag</a:t>
                </a:r>
              </a:p>
            </c:rich>
          </c:tx>
          <c:layout>
            <c:manualLayout>
              <c:xMode val="edge"/>
              <c:yMode val="edge"/>
              <c:x val="0.52833616386187032"/>
              <c:y val="0.92975559962468679"/>
            </c:manualLayout>
          </c:layout>
          <c:overlay val="0"/>
        </c:title>
        <c:majorTickMark val="out"/>
        <c:minorTickMark val="none"/>
        <c:tickLblPos val="nextTo"/>
        <c:crossAx val="451747136"/>
        <c:crosses val="autoZero"/>
        <c:auto val="1"/>
        <c:lblAlgn val="ctr"/>
        <c:lblOffset val="100"/>
        <c:noMultiLvlLbl val="0"/>
      </c:catAx>
      <c:valAx>
        <c:axId val="451747136"/>
        <c:scaling>
          <c:orientation val="minMax"/>
        </c:scaling>
        <c:delete val="0"/>
        <c:axPos val="l"/>
        <c:majorGridlines/>
        <c:numFmt formatCode="_(* #,##0.0000_);_(* \(#,##0.0000\);_(* &quot;-&quot;??_);_(@_)" sourceLinked="1"/>
        <c:majorTickMark val="out"/>
        <c:minorTickMark val="none"/>
        <c:tickLblPos val="nextTo"/>
        <c:crossAx val="45174657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9.897184013823998E-2"/>
          <c:y val="0.18517401314281723"/>
          <c:w val="0.87219722915191722"/>
          <c:h val="0.72487581464033934"/>
        </c:manualLayout>
      </c:layout>
      <c:lineChart>
        <c:grouping val="standard"/>
        <c:varyColors val="0"/>
        <c:ser>
          <c:idx val="0"/>
          <c:order val="0"/>
          <c:tx>
            <c:v>Sample Autocorrelation of Second Differences</c:v>
          </c:tx>
          <c:marker>
            <c:symbol val="none"/>
          </c:marker>
          <c:val>
            <c:numRef>
              <c:f>Differences!$N$5:$N$61</c:f>
              <c:numCache>
                <c:formatCode>_(* #,##0.0000_);_(* \(#,##0.0000\);_(* "-"??_);_(@_)</c:formatCode>
                <c:ptCount val="57"/>
                <c:pt idx="0">
                  <c:v>-0.25392206116554</c:v>
                </c:pt>
                <c:pt idx="1">
                  <c:v>-8.1231713277488043E-2</c:v>
                </c:pt>
                <c:pt idx="2">
                  <c:v>-1.0377444893911549E-2</c:v>
                </c:pt>
                <c:pt idx="3">
                  <c:v>-0.18654900901165949</c:v>
                </c:pt>
                <c:pt idx="4">
                  <c:v>0.16242073749215105</c:v>
                </c:pt>
                <c:pt idx="5">
                  <c:v>-0.25574568298478195</c:v>
                </c:pt>
                <c:pt idx="6">
                  <c:v>0.16415698268682372</c:v>
                </c:pt>
                <c:pt idx="7">
                  <c:v>-0.14634940029072585</c:v>
                </c:pt>
                <c:pt idx="8">
                  <c:v>1.2300451219960009E-2</c:v>
                </c:pt>
                <c:pt idx="9">
                  <c:v>6.534303324768659E-3</c:v>
                </c:pt>
                <c:pt idx="10">
                  <c:v>3.7458118569995084E-2</c:v>
                </c:pt>
                <c:pt idx="11">
                  <c:v>5.8082908892977361E-2</c:v>
                </c:pt>
                <c:pt idx="12">
                  <c:v>9.7958479310309099E-2</c:v>
                </c:pt>
                <c:pt idx="13">
                  <c:v>0.13091063021897789</c:v>
                </c:pt>
                <c:pt idx="14">
                  <c:v>-0.11301680274276919</c:v>
                </c:pt>
                <c:pt idx="15">
                  <c:v>-6.1374746239192361E-2</c:v>
                </c:pt>
                <c:pt idx="16">
                  <c:v>-0.20366055082649723</c:v>
                </c:pt>
                <c:pt idx="17">
                  <c:v>0.18805340018385402</c:v>
                </c:pt>
                <c:pt idx="18">
                  <c:v>-5.1024210711007302E-2</c:v>
                </c:pt>
                <c:pt idx="19">
                  <c:v>4.7848567780816378E-3</c:v>
                </c:pt>
                <c:pt idx="20">
                  <c:v>-1.3426534991146026E-3</c:v>
                </c:pt>
                <c:pt idx="21">
                  <c:v>-0.1583362842155048</c:v>
                </c:pt>
                <c:pt idx="22">
                  <c:v>0.19021487528232386</c:v>
                </c:pt>
                <c:pt idx="23">
                  <c:v>-3.761569035800439E-2</c:v>
                </c:pt>
                <c:pt idx="24">
                  <c:v>0.11245215642846645</c:v>
                </c:pt>
                <c:pt idx="25">
                  <c:v>-1.1218334424992241E-2</c:v>
                </c:pt>
                <c:pt idx="26">
                  <c:v>-4.5441080280202627E-2</c:v>
                </c:pt>
                <c:pt idx="27">
                  <c:v>3.7099683566688503E-2</c:v>
                </c:pt>
                <c:pt idx="28">
                  <c:v>-0.12655559144784553</c:v>
                </c:pt>
                <c:pt idx="29">
                  <c:v>-1.1677989176366262E-3</c:v>
                </c:pt>
                <c:pt idx="30">
                  <c:v>8.1097397261406749E-3</c:v>
                </c:pt>
                <c:pt idx="31">
                  <c:v>4.4521264115756735E-2</c:v>
                </c:pt>
                <c:pt idx="32">
                  <c:v>6.8806910388169657E-3</c:v>
                </c:pt>
                <c:pt idx="33">
                  <c:v>-7.5923987256872813E-2</c:v>
                </c:pt>
                <c:pt idx="34">
                  <c:v>-2.085363252314577E-3</c:v>
                </c:pt>
                <c:pt idx="35">
                  <c:v>7.1795201081670937E-2</c:v>
                </c:pt>
                <c:pt idx="36">
                  <c:v>7.7557351979024261E-2</c:v>
                </c:pt>
                <c:pt idx="37">
                  <c:v>4.8917061005688232E-2</c:v>
                </c:pt>
                <c:pt idx="38">
                  <c:v>-6.4717869008371467E-2</c:v>
                </c:pt>
                <c:pt idx="39">
                  <c:v>2.84301952559903E-2</c:v>
                </c:pt>
                <c:pt idx="40">
                  <c:v>-8.3876718152446184E-2</c:v>
                </c:pt>
                <c:pt idx="41">
                  <c:v>-0.14359073993780702</c:v>
                </c:pt>
                <c:pt idx="42">
                  <c:v>0.10902036786217605</c:v>
                </c:pt>
                <c:pt idx="43">
                  <c:v>6.2403832443125922E-3</c:v>
                </c:pt>
                <c:pt idx="44">
                  <c:v>1.1043113921176998E-2</c:v>
                </c:pt>
                <c:pt idx="45">
                  <c:v>-2.1641350723831818E-2</c:v>
                </c:pt>
                <c:pt idx="46">
                  <c:v>2.8059206301727591E-2</c:v>
                </c:pt>
                <c:pt idx="47">
                  <c:v>7.6368414009441388E-2</c:v>
                </c:pt>
                <c:pt idx="48">
                  <c:v>-6.6786737607636135E-2</c:v>
                </c:pt>
                <c:pt idx="49">
                  <c:v>6.0842469977803321E-2</c:v>
                </c:pt>
                <c:pt idx="50">
                  <c:v>3.4417669869494801E-2</c:v>
                </c:pt>
                <c:pt idx="51">
                  <c:v>-8.9262531999838024E-2</c:v>
                </c:pt>
                <c:pt idx="52">
                  <c:v>-3.8295179990470364E-2</c:v>
                </c:pt>
                <c:pt idx="53">
                  <c:v>3.3144119396382823E-3</c:v>
                </c:pt>
                <c:pt idx="54">
                  <c:v>2.2096079597588559E-3</c:v>
                </c:pt>
                <c:pt idx="55">
                  <c:v>9.4084262490369136E-3</c:v>
                </c:pt>
                <c:pt idx="56">
                  <c:v>8.0925132284161948E-3</c:v>
                </c:pt>
              </c:numCache>
            </c:numRef>
          </c:val>
          <c:smooth val="0"/>
        </c:ser>
        <c:dLbls>
          <c:showLegendKey val="0"/>
          <c:showVal val="0"/>
          <c:showCatName val="0"/>
          <c:showSerName val="0"/>
          <c:showPercent val="0"/>
          <c:showBubbleSize val="0"/>
        </c:dLbls>
        <c:smooth val="0"/>
        <c:axId val="215028192"/>
        <c:axId val="215028752"/>
      </c:lineChart>
      <c:catAx>
        <c:axId val="215028192"/>
        <c:scaling>
          <c:orientation val="minMax"/>
        </c:scaling>
        <c:delete val="0"/>
        <c:axPos val="b"/>
        <c:title>
          <c:tx>
            <c:rich>
              <a:bodyPr/>
              <a:lstStyle/>
              <a:p>
                <a:pPr>
                  <a:defRPr/>
                </a:pPr>
                <a:r>
                  <a:rPr lang="en-US"/>
                  <a:t>Lag</a:t>
                </a:r>
              </a:p>
            </c:rich>
          </c:tx>
          <c:layout>
            <c:manualLayout>
              <c:xMode val="edge"/>
              <c:yMode val="edge"/>
              <c:x val="0.52903637045369334"/>
              <c:y val="0.9295617565482186"/>
            </c:manualLayout>
          </c:layout>
          <c:overlay val="0"/>
        </c:title>
        <c:majorTickMark val="out"/>
        <c:minorTickMark val="none"/>
        <c:tickLblPos val="nextTo"/>
        <c:crossAx val="215028752"/>
        <c:crosses val="autoZero"/>
        <c:auto val="1"/>
        <c:lblAlgn val="ctr"/>
        <c:lblOffset val="100"/>
        <c:noMultiLvlLbl val="0"/>
      </c:catAx>
      <c:valAx>
        <c:axId val="215028752"/>
        <c:scaling>
          <c:orientation val="minMax"/>
        </c:scaling>
        <c:delete val="0"/>
        <c:axPos val="l"/>
        <c:majorGridlines/>
        <c:numFmt formatCode="_(* #,##0.0000_);_(* \(#,##0.0000\);_(* &quot;-&quot;??_);_(@_)" sourceLinked="1"/>
        <c:majorTickMark val="out"/>
        <c:minorTickMark val="none"/>
        <c:tickLblPos val="nextTo"/>
        <c:crossAx val="21502819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X1  Residual Plot</a:t>
            </a:r>
          </a:p>
        </c:rich>
      </c:tx>
      <c:overlay val="0"/>
    </c:title>
    <c:autoTitleDeleted val="0"/>
    <c:plotArea>
      <c:layout/>
      <c:scatterChart>
        <c:scatterStyle val="lineMarker"/>
        <c:varyColors val="0"/>
        <c:ser>
          <c:idx val="0"/>
          <c:order val="0"/>
          <c:spPr>
            <a:ln w="28575">
              <a:noFill/>
            </a:ln>
          </c:spPr>
          <c:xVal>
            <c:numRef>
              <c:f>'AR(2)'!$D$5:$D$62</c:f>
              <c:numCache>
                <c:formatCode>"$"#,##0</c:formatCode>
                <c:ptCount val="58"/>
                <c:pt idx="0">
                  <c:v>342375</c:v>
                </c:pt>
                <c:pt idx="1">
                  <c:v>341000</c:v>
                </c:pt>
                <c:pt idx="2">
                  <c:v>342000</c:v>
                </c:pt>
                <c:pt idx="3">
                  <c:v>357250</c:v>
                </c:pt>
                <c:pt idx="4">
                  <c:v>380250</c:v>
                </c:pt>
                <c:pt idx="5">
                  <c:v>390500</c:v>
                </c:pt>
                <c:pt idx="6">
                  <c:v>392500</c:v>
                </c:pt>
                <c:pt idx="7">
                  <c:v>390250</c:v>
                </c:pt>
                <c:pt idx="8">
                  <c:v>389000</c:v>
                </c:pt>
                <c:pt idx="9">
                  <c:v>384000</c:v>
                </c:pt>
                <c:pt idx="10">
                  <c:v>380000</c:v>
                </c:pt>
                <c:pt idx="11">
                  <c:v>385500</c:v>
                </c:pt>
                <c:pt idx="12">
                  <c:v>387500</c:v>
                </c:pt>
                <c:pt idx="13">
                  <c:v>380000</c:v>
                </c:pt>
                <c:pt idx="14">
                  <c:v>378000</c:v>
                </c:pt>
                <c:pt idx="15">
                  <c:v>385250</c:v>
                </c:pt>
                <c:pt idx="16">
                  <c:v>400600</c:v>
                </c:pt>
                <c:pt idx="17">
                  <c:v>414000</c:v>
                </c:pt>
                <c:pt idx="18">
                  <c:v>420000</c:v>
                </c:pt>
                <c:pt idx="19">
                  <c:v>425000</c:v>
                </c:pt>
                <c:pt idx="20">
                  <c:v>427100</c:v>
                </c:pt>
                <c:pt idx="21">
                  <c:v>429950</c:v>
                </c:pt>
                <c:pt idx="22">
                  <c:v>425000</c:v>
                </c:pt>
                <c:pt idx="23">
                  <c:v>423000</c:v>
                </c:pt>
                <c:pt idx="24">
                  <c:v>423000</c:v>
                </c:pt>
                <c:pt idx="25">
                  <c:v>420000</c:v>
                </c:pt>
                <c:pt idx="26">
                  <c:v>425000</c:v>
                </c:pt>
                <c:pt idx="27">
                  <c:v>420000</c:v>
                </c:pt>
                <c:pt idx="28">
                  <c:v>424500</c:v>
                </c:pt>
                <c:pt idx="29">
                  <c:v>432750</c:v>
                </c:pt>
                <c:pt idx="30">
                  <c:v>446000</c:v>
                </c:pt>
                <c:pt idx="31">
                  <c:v>457750</c:v>
                </c:pt>
                <c:pt idx="32">
                  <c:v>450000</c:v>
                </c:pt>
                <c:pt idx="33">
                  <c:v>449000</c:v>
                </c:pt>
                <c:pt idx="34">
                  <c:v>450000</c:v>
                </c:pt>
                <c:pt idx="35">
                  <c:v>455000</c:v>
                </c:pt>
                <c:pt idx="36">
                  <c:v>453250</c:v>
                </c:pt>
                <c:pt idx="37">
                  <c:v>452500</c:v>
                </c:pt>
                <c:pt idx="38">
                  <c:v>451000</c:v>
                </c:pt>
                <c:pt idx="39">
                  <c:v>459950</c:v>
                </c:pt>
                <c:pt idx="40">
                  <c:v>475000</c:v>
                </c:pt>
                <c:pt idx="41">
                  <c:v>486350</c:v>
                </c:pt>
                <c:pt idx="42">
                  <c:v>500000</c:v>
                </c:pt>
                <c:pt idx="43">
                  <c:v>500500</c:v>
                </c:pt>
                <c:pt idx="44">
                  <c:v>509000</c:v>
                </c:pt>
                <c:pt idx="45">
                  <c:v>499000</c:v>
                </c:pt>
                <c:pt idx="46">
                  <c:v>494000</c:v>
                </c:pt>
                <c:pt idx="47">
                  <c:v>497475</c:v>
                </c:pt>
                <c:pt idx="48">
                  <c:v>506325</c:v>
                </c:pt>
                <c:pt idx="49">
                  <c:v>523975</c:v>
                </c:pt>
                <c:pt idx="50">
                  <c:v>520000</c:v>
                </c:pt>
                <c:pt idx="51">
                  <c:v>537555</c:v>
                </c:pt>
                <c:pt idx="52">
                  <c:v>549950</c:v>
                </c:pt>
                <c:pt idx="53">
                  <c:v>550000</c:v>
                </c:pt>
                <c:pt idx="54">
                  <c:v>563000</c:v>
                </c:pt>
                <c:pt idx="55">
                  <c:v>566000</c:v>
                </c:pt>
                <c:pt idx="56">
                  <c:v>555750</c:v>
                </c:pt>
                <c:pt idx="57">
                  <c:v>550000</c:v>
                </c:pt>
              </c:numCache>
            </c:numRef>
          </c:xVal>
          <c:yVal>
            <c:numRef>
              <c:f>'AR(2)'!$I$29:$I$86</c:f>
              <c:numCache>
                <c:formatCode>General</c:formatCode>
                <c:ptCount val="58"/>
                <c:pt idx="0">
                  <c:v>7374.0645269112429</c:v>
                </c:pt>
                <c:pt idx="1">
                  <c:v>1991.0815706392168</c:v>
                </c:pt>
                <c:pt idx="2">
                  <c:v>4983.5752249017823</c:v>
                </c:pt>
                <c:pt idx="3">
                  <c:v>-6084.3135572401807</c:v>
                </c:pt>
                <c:pt idx="4">
                  <c:v>-18209.566389174783</c:v>
                </c:pt>
                <c:pt idx="5">
                  <c:v>-8373.4395068922313</c:v>
                </c:pt>
                <c:pt idx="6">
                  <c:v>-1683.177970229357</c:v>
                </c:pt>
                <c:pt idx="7">
                  <c:v>2902.0031651515164</c:v>
                </c:pt>
                <c:pt idx="8">
                  <c:v>471.85994974512141</c:v>
                </c:pt>
                <c:pt idx="9">
                  <c:v>4507.8706713195425</c:v>
                </c:pt>
                <c:pt idx="10">
                  <c:v>7002.7590719439904</c:v>
                </c:pt>
                <c:pt idx="11">
                  <c:v>-3712.8402592677739</c:v>
                </c:pt>
                <c:pt idx="12">
                  <c:v>-3743.488960842602</c:v>
                </c:pt>
                <c:pt idx="13">
                  <c:v>7687.173017319059</c:v>
                </c:pt>
                <c:pt idx="14">
                  <c:v>5623.968850406236</c:v>
                </c:pt>
                <c:pt idx="15">
                  <c:v>-455.56711965415161</c:v>
                </c:pt>
                <c:pt idx="16">
                  <c:v>-9013.1591840636684</c:v>
                </c:pt>
                <c:pt idx="17">
                  <c:v>-9601.6100749269244</c:v>
                </c:pt>
                <c:pt idx="18">
                  <c:v>-2469.7406460262137</c:v>
                </c:pt>
                <c:pt idx="19">
                  <c:v>-2469.0331681054085</c:v>
                </c:pt>
                <c:pt idx="20">
                  <c:v>750.0737533547217</c:v>
                </c:pt>
                <c:pt idx="21">
                  <c:v>-2877.1773146010237</c:v>
                </c:pt>
                <c:pt idx="22">
                  <c:v>5941.7797886996414</c:v>
                </c:pt>
                <c:pt idx="23">
                  <c:v>3706.8424356493051</c:v>
                </c:pt>
                <c:pt idx="24">
                  <c:v>580.60801379935583</c:v>
                </c:pt>
                <c:pt idx="25">
                  <c:v>6530.2593539737863</c:v>
                </c:pt>
                <c:pt idx="26">
                  <c:v>-5134.4546331503079</c:v>
                </c:pt>
                <c:pt idx="27">
                  <c:v>8342.5536169988336</c:v>
                </c:pt>
                <c:pt idx="28">
                  <c:v>330.80732144950889</c:v>
                </c:pt>
                <c:pt idx="29">
                  <c:v>-1394.6240673809662</c:v>
                </c:pt>
                <c:pt idx="30">
                  <c:v>-6720.8292845105752</c:v>
                </c:pt>
                <c:pt idx="31">
                  <c:v>-12331.261258452723</c:v>
                </c:pt>
                <c:pt idx="32">
                  <c:v>9564.1950245277258</c:v>
                </c:pt>
                <c:pt idx="33">
                  <c:v>3547.1378219525213</c:v>
                </c:pt>
                <c:pt idx="34">
                  <c:v>3066.6638682276243</c:v>
                </c:pt>
                <c:pt idx="35">
                  <c:v>-3377.9628285592189</c:v>
                </c:pt>
                <c:pt idx="36">
                  <c:v>3716.1583820591914</c:v>
                </c:pt>
                <c:pt idx="37">
                  <c:v>2421.1896637403406</c:v>
                </c:pt>
                <c:pt idx="38">
                  <c:v>7067.4193408050342</c:v>
                </c:pt>
                <c:pt idx="39">
                  <c:v>-932.5433213475626</c:v>
                </c:pt>
                <c:pt idx="40">
                  <c:v>-8152.4695103118429</c:v>
                </c:pt>
                <c:pt idx="41">
                  <c:v>-3386.0834123343229</c:v>
                </c:pt>
                <c:pt idx="42">
                  <c:v>-10378.680240791175</c:v>
                </c:pt>
                <c:pt idx="43">
                  <c:v>5783.5516260463046</c:v>
                </c:pt>
                <c:pt idx="44">
                  <c:v>-9009.57936299016</c:v>
                </c:pt>
                <c:pt idx="45">
                  <c:v>11188.67650200869</c:v>
                </c:pt>
                <c:pt idx="46">
                  <c:v>9280.8879913592828</c:v>
                </c:pt>
                <c:pt idx="47">
                  <c:v>2885.8581867415924</c:v>
                </c:pt>
                <c:pt idx="48">
                  <c:v>972.71848920616321</c:v>
                </c:pt>
                <c:pt idx="49">
                  <c:v>-15629.96997907653</c:v>
                </c:pt>
                <c:pt idx="50">
                  <c:v>14006.565456928161</c:v>
                </c:pt>
                <c:pt idx="51">
                  <c:v>-9146.6717070628656</c:v>
                </c:pt>
                <c:pt idx="52">
                  <c:v>-8399.5018878363771</c:v>
                </c:pt>
                <c:pt idx="53">
                  <c:v>8807.9707073398167</c:v>
                </c:pt>
                <c:pt idx="54">
                  <c:v>-7663.7020759835141</c:v>
                </c:pt>
                <c:pt idx="55">
                  <c:v>-2584.2636543957051</c:v>
                </c:pt>
                <c:pt idx="56">
                  <c:v>12171.816436009365</c:v>
                </c:pt>
                <c:pt idx="57">
                  <c:v>9727.6215459898813</c:v>
                </c:pt>
              </c:numCache>
            </c:numRef>
          </c:yVal>
          <c:smooth val="0"/>
        </c:ser>
        <c:dLbls>
          <c:showLegendKey val="0"/>
          <c:showVal val="0"/>
          <c:showCatName val="0"/>
          <c:showSerName val="0"/>
          <c:showPercent val="0"/>
          <c:showBubbleSize val="0"/>
        </c:dLbls>
        <c:axId val="452772256"/>
        <c:axId val="452772816"/>
      </c:scatterChart>
      <c:valAx>
        <c:axId val="452772256"/>
        <c:scaling>
          <c:orientation val="minMax"/>
        </c:scaling>
        <c:delete val="0"/>
        <c:axPos val="b"/>
        <c:title>
          <c:tx>
            <c:rich>
              <a:bodyPr/>
              <a:lstStyle/>
              <a:p>
                <a:pPr>
                  <a:defRPr/>
                </a:pPr>
                <a:r>
                  <a:rPr lang="en-US"/>
                  <a:t>X1</a:t>
                </a:r>
              </a:p>
            </c:rich>
          </c:tx>
          <c:overlay val="0"/>
        </c:title>
        <c:numFmt formatCode="&quot;$&quot;#,##0" sourceLinked="1"/>
        <c:majorTickMark val="out"/>
        <c:minorTickMark val="none"/>
        <c:tickLblPos val="nextTo"/>
        <c:crossAx val="452772816"/>
        <c:crosses val="autoZero"/>
        <c:crossBetween val="midCat"/>
      </c:valAx>
      <c:valAx>
        <c:axId val="452772816"/>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52772256"/>
        <c:crosses val="autoZero"/>
        <c:crossBetween val="midCat"/>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X2  Residual Plot</a:t>
            </a:r>
          </a:p>
        </c:rich>
      </c:tx>
      <c:overlay val="0"/>
    </c:title>
    <c:autoTitleDeleted val="0"/>
    <c:plotArea>
      <c:layout/>
      <c:scatterChart>
        <c:scatterStyle val="lineMarker"/>
        <c:varyColors val="0"/>
        <c:ser>
          <c:idx val="0"/>
          <c:order val="0"/>
          <c:spPr>
            <a:ln w="28575">
              <a:noFill/>
            </a:ln>
          </c:spPr>
          <c:xVal>
            <c:numRef>
              <c:f>'AR(2)'!$E$5:$E$62</c:f>
              <c:numCache>
                <c:formatCode>"$"#,##0</c:formatCode>
                <c:ptCount val="58"/>
                <c:pt idx="0">
                  <c:v>341000</c:v>
                </c:pt>
                <c:pt idx="1">
                  <c:v>342000</c:v>
                </c:pt>
                <c:pt idx="2">
                  <c:v>357250</c:v>
                </c:pt>
                <c:pt idx="3">
                  <c:v>380250</c:v>
                </c:pt>
                <c:pt idx="4">
                  <c:v>390500</c:v>
                </c:pt>
                <c:pt idx="5">
                  <c:v>392500</c:v>
                </c:pt>
                <c:pt idx="6">
                  <c:v>390250</c:v>
                </c:pt>
                <c:pt idx="7">
                  <c:v>389000</c:v>
                </c:pt>
                <c:pt idx="8">
                  <c:v>384000</c:v>
                </c:pt>
                <c:pt idx="9">
                  <c:v>380000</c:v>
                </c:pt>
                <c:pt idx="10">
                  <c:v>385500</c:v>
                </c:pt>
                <c:pt idx="11">
                  <c:v>387500</c:v>
                </c:pt>
                <c:pt idx="12">
                  <c:v>380000</c:v>
                </c:pt>
                <c:pt idx="13">
                  <c:v>378000</c:v>
                </c:pt>
                <c:pt idx="14">
                  <c:v>385250</c:v>
                </c:pt>
                <c:pt idx="15">
                  <c:v>400600</c:v>
                </c:pt>
                <c:pt idx="16">
                  <c:v>414000</c:v>
                </c:pt>
                <c:pt idx="17">
                  <c:v>420000</c:v>
                </c:pt>
                <c:pt idx="18">
                  <c:v>425000</c:v>
                </c:pt>
                <c:pt idx="19">
                  <c:v>427100</c:v>
                </c:pt>
                <c:pt idx="20">
                  <c:v>429950</c:v>
                </c:pt>
                <c:pt idx="21">
                  <c:v>425000</c:v>
                </c:pt>
                <c:pt idx="22">
                  <c:v>423000</c:v>
                </c:pt>
                <c:pt idx="23">
                  <c:v>423000</c:v>
                </c:pt>
                <c:pt idx="24">
                  <c:v>420000</c:v>
                </c:pt>
                <c:pt idx="25">
                  <c:v>425000</c:v>
                </c:pt>
                <c:pt idx="26">
                  <c:v>420000</c:v>
                </c:pt>
                <c:pt idx="27">
                  <c:v>424500</c:v>
                </c:pt>
                <c:pt idx="28">
                  <c:v>432750</c:v>
                </c:pt>
                <c:pt idx="29">
                  <c:v>446000</c:v>
                </c:pt>
                <c:pt idx="30">
                  <c:v>457750</c:v>
                </c:pt>
                <c:pt idx="31">
                  <c:v>450000</c:v>
                </c:pt>
                <c:pt idx="32">
                  <c:v>449000</c:v>
                </c:pt>
                <c:pt idx="33">
                  <c:v>450000</c:v>
                </c:pt>
                <c:pt idx="34">
                  <c:v>455000</c:v>
                </c:pt>
                <c:pt idx="35">
                  <c:v>453250</c:v>
                </c:pt>
                <c:pt idx="36">
                  <c:v>452500</c:v>
                </c:pt>
                <c:pt idx="37">
                  <c:v>451000</c:v>
                </c:pt>
                <c:pt idx="38">
                  <c:v>459950</c:v>
                </c:pt>
                <c:pt idx="39">
                  <c:v>475000</c:v>
                </c:pt>
                <c:pt idx="40">
                  <c:v>486350</c:v>
                </c:pt>
                <c:pt idx="41">
                  <c:v>500000</c:v>
                </c:pt>
                <c:pt idx="42">
                  <c:v>500500</c:v>
                </c:pt>
                <c:pt idx="43">
                  <c:v>509000</c:v>
                </c:pt>
                <c:pt idx="44">
                  <c:v>499000</c:v>
                </c:pt>
                <c:pt idx="45">
                  <c:v>494000</c:v>
                </c:pt>
                <c:pt idx="46">
                  <c:v>497475</c:v>
                </c:pt>
                <c:pt idx="47">
                  <c:v>506325</c:v>
                </c:pt>
                <c:pt idx="48">
                  <c:v>523975</c:v>
                </c:pt>
                <c:pt idx="49">
                  <c:v>520000</c:v>
                </c:pt>
                <c:pt idx="50">
                  <c:v>537555</c:v>
                </c:pt>
                <c:pt idx="51">
                  <c:v>549950</c:v>
                </c:pt>
                <c:pt idx="52">
                  <c:v>550000</c:v>
                </c:pt>
                <c:pt idx="53">
                  <c:v>563000</c:v>
                </c:pt>
                <c:pt idx="54">
                  <c:v>566000</c:v>
                </c:pt>
                <c:pt idx="55">
                  <c:v>555750</c:v>
                </c:pt>
                <c:pt idx="56">
                  <c:v>550000</c:v>
                </c:pt>
                <c:pt idx="57">
                  <c:v>550000</c:v>
                </c:pt>
              </c:numCache>
            </c:numRef>
          </c:xVal>
          <c:yVal>
            <c:numRef>
              <c:f>'AR(2)'!$I$29:$I$86</c:f>
              <c:numCache>
                <c:formatCode>General</c:formatCode>
                <c:ptCount val="58"/>
                <c:pt idx="0">
                  <c:v>7374.0645269112429</c:v>
                </c:pt>
                <c:pt idx="1">
                  <c:v>1991.0815706392168</c:v>
                </c:pt>
                <c:pt idx="2">
                  <c:v>4983.5752249017823</c:v>
                </c:pt>
                <c:pt idx="3">
                  <c:v>-6084.3135572401807</c:v>
                </c:pt>
                <c:pt idx="4">
                  <c:v>-18209.566389174783</c:v>
                </c:pt>
                <c:pt idx="5">
                  <c:v>-8373.4395068922313</c:v>
                </c:pt>
                <c:pt idx="6">
                  <c:v>-1683.177970229357</c:v>
                </c:pt>
                <c:pt idx="7">
                  <c:v>2902.0031651515164</c:v>
                </c:pt>
                <c:pt idx="8">
                  <c:v>471.85994974512141</c:v>
                </c:pt>
                <c:pt idx="9">
                  <c:v>4507.8706713195425</c:v>
                </c:pt>
                <c:pt idx="10">
                  <c:v>7002.7590719439904</c:v>
                </c:pt>
                <c:pt idx="11">
                  <c:v>-3712.8402592677739</c:v>
                </c:pt>
                <c:pt idx="12">
                  <c:v>-3743.488960842602</c:v>
                </c:pt>
                <c:pt idx="13">
                  <c:v>7687.173017319059</c:v>
                </c:pt>
                <c:pt idx="14">
                  <c:v>5623.968850406236</c:v>
                </c:pt>
                <c:pt idx="15">
                  <c:v>-455.56711965415161</c:v>
                </c:pt>
                <c:pt idx="16">
                  <c:v>-9013.1591840636684</c:v>
                </c:pt>
                <c:pt idx="17">
                  <c:v>-9601.6100749269244</c:v>
                </c:pt>
                <c:pt idx="18">
                  <c:v>-2469.7406460262137</c:v>
                </c:pt>
                <c:pt idx="19">
                  <c:v>-2469.0331681054085</c:v>
                </c:pt>
                <c:pt idx="20">
                  <c:v>750.0737533547217</c:v>
                </c:pt>
                <c:pt idx="21">
                  <c:v>-2877.1773146010237</c:v>
                </c:pt>
                <c:pt idx="22">
                  <c:v>5941.7797886996414</c:v>
                </c:pt>
                <c:pt idx="23">
                  <c:v>3706.8424356493051</c:v>
                </c:pt>
                <c:pt idx="24">
                  <c:v>580.60801379935583</c:v>
                </c:pt>
                <c:pt idx="25">
                  <c:v>6530.2593539737863</c:v>
                </c:pt>
                <c:pt idx="26">
                  <c:v>-5134.4546331503079</c:v>
                </c:pt>
                <c:pt idx="27">
                  <c:v>8342.5536169988336</c:v>
                </c:pt>
                <c:pt idx="28">
                  <c:v>330.80732144950889</c:v>
                </c:pt>
                <c:pt idx="29">
                  <c:v>-1394.6240673809662</c:v>
                </c:pt>
                <c:pt idx="30">
                  <c:v>-6720.8292845105752</c:v>
                </c:pt>
                <c:pt idx="31">
                  <c:v>-12331.261258452723</c:v>
                </c:pt>
                <c:pt idx="32">
                  <c:v>9564.1950245277258</c:v>
                </c:pt>
                <c:pt idx="33">
                  <c:v>3547.1378219525213</c:v>
                </c:pt>
                <c:pt idx="34">
                  <c:v>3066.6638682276243</c:v>
                </c:pt>
                <c:pt idx="35">
                  <c:v>-3377.9628285592189</c:v>
                </c:pt>
                <c:pt idx="36">
                  <c:v>3716.1583820591914</c:v>
                </c:pt>
                <c:pt idx="37">
                  <c:v>2421.1896637403406</c:v>
                </c:pt>
                <c:pt idx="38">
                  <c:v>7067.4193408050342</c:v>
                </c:pt>
                <c:pt idx="39">
                  <c:v>-932.5433213475626</c:v>
                </c:pt>
                <c:pt idx="40">
                  <c:v>-8152.4695103118429</c:v>
                </c:pt>
                <c:pt idx="41">
                  <c:v>-3386.0834123343229</c:v>
                </c:pt>
                <c:pt idx="42">
                  <c:v>-10378.680240791175</c:v>
                </c:pt>
                <c:pt idx="43">
                  <c:v>5783.5516260463046</c:v>
                </c:pt>
                <c:pt idx="44">
                  <c:v>-9009.57936299016</c:v>
                </c:pt>
                <c:pt idx="45">
                  <c:v>11188.67650200869</c:v>
                </c:pt>
                <c:pt idx="46">
                  <c:v>9280.8879913592828</c:v>
                </c:pt>
                <c:pt idx="47">
                  <c:v>2885.8581867415924</c:v>
                </c:pt>
                <c:pt idx="48">
                  <c:v>972.71848920616321</c:v>
                </c:pt>
                <c:pt idx="49">
                  <c:v>-15629.96997907653</c:v>
                </c:pt>
                <c:pt idx="50">
                  <c:v>14006.565456928161</c:v>
                </c:pt>
                <c:pt idx="51">
                  <c:v>-9146.6717070628656</c:v>
                </c:pt>
                <c:pt idx="52">
                  <c:v>-8399.5018878363771</c:v>
                </c:pt>
                <c:pt idx="53">
                  <c:v>8807.9707073398167</c:v>
                </c:pt>
                <c:pt idx="54">
                  <c:v>-7663.7020759835141</c:v>
                </c:pt>
                <c:pt idx="55">
                  <c:v>-2584.2636543957051</c:v>
                </c:pt>
                <c:pt idx="56">
                  <c:v>12171.816436009365</c:v>
                </c:pt>
                <c:pt idx="57">
                  <c:v>9727.6215459898813</c:v>
                </c:pt>
              </c:numCache>
            </c:numRef>
          </c:yVal>
          <c:smooth val="0"/>
        </c:ser>
        <c:dLbls>
          <c:showLegendKey val="0"/>
          <c:showVal val="0"/>
          <c:showCatName val="0"/>
          <c:showSerName val="0"/>
          <c:showPercent val="0"/>
          <c:showBubbleSize val="0"/>
        </c:dLbls>
        <c:axId val="452775056"/>
        <c:axId val="447656736"/>
      </c:scatterChart>
      <c:valAx>
        <c:axId val="452775056"/>
        <c:scaling>
          <c:orientation val="minMax"/>
        </c:scaling>
        <c:delete val="0"/>
        <c:axPos val="b"/>
        <c:title>
          <c:tx>
            <c:rich>
              <a:bodyPr/>
              <a:lstStyle/>
              <a:p>
                <a:pPr>
                  <a:defRPr/>
                </a:pPr>
                <a:r>
                  <a:rPr lang="en-US"/>
                  <a:t>X2</a:t>
                </a:r>
              </a:p>
            </c:rich>
          </c:tx>
          <c:overlay val="0"/>
        </c:title>
        <c:numFmt formatCode="&quot;$&quot;#,##0" sourceLinked="1"/>
        <c:majorTickMark val="out"/>
        <c:minorTickMark val="none"/>
        <c:tickLblPos val="nextTo"/>
        <c:crossAx val="447656736"/>
        <c:crosses val="autoZero"/>
        <c:crossBetween val="midCat"/>
      </c:valAx>
      <c:valAx>
        <c:axId val="447656736"/>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52775056"/>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Boon</dc:creator>
  <cp:lastModifiedBy>Liberty Mutual</cp:lastModifiedBy>
  <cp:revision>2</cp:revision>
  <dcterms:created xsi:type="dcterms:W3CDTF">2016-12-16T02:14:00Z</dcterms:created>
  <dcterms:modified xsi:type="dcterms:W3CDTF">2016-12-16T02:14:00Z</dcterms:modified>
</cp:coreProperties>
</file>