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6D88" w:rsidRDefault="00880A60" w:rsidP="00D03CA5">
      <w:pPr>
        <w:spacing w:after="0"/>
        <w:jc w:val="center"/>
      </w:pPr>
      <w:r>
        <w:t>Time Series</w:t>
      </w:r>
    </w:p>
    <w:p w:rsidR="00B03238" w:rsidRDefault="00B03238" w:rsidP="00D03CA5">
      <w:pPr>
        <w:spacing w:after="0"/>
        <w:jc w:val="center"/>
      </w:pPr>
      <w:r>
        <w:t>Student Project</w:t>
      </w:r>
    </w:p>
    <w:p w:rsidR="00086A6C" w:rsidRDefault="00B03238" w:rsidP="00880A60">
      <w:pPr>
        <w:spacing w:after="0"/>
        <w:jc w:val="center"/>
        <w:rPr>
          <w:b/>
        </w:rPr>
      </w:pPr>
      <w:r w:rsidRPr="00B03238">
        <w:rPr>
          <w:b/>
        </w:rPr>
        <w:t xml:space="preserve">Topic: </w:t>
      </w:r>
      <w:r w:rsidR="008E04EB">
        <w:rPr>
          <w:b/>
        </w:rPr>
        <w:t>Maternal Age</w:t>
      </w:r>
      <w:r w:rsidR="00066145">
        <w:rPr>
          <w:b/>
        </w:rPr>
        <w:t xml:space="preserve"> </w:t>
      </w:r>
    </w:p>
    <w:p w:rsidR="00B03238" w:rsidRDefault="008E04EB" w:rsidP="00880A60">
      <w:pPr>
        <w:spacing w:after="0"/>
        <w:jc w:val="center"/>
        <w:rPr>
          <w:b/>
        </w:rPr>
      </w:pPr>
      <w:r>
        <w:rPr>
          <w:b/>
        </w:rPr>
        <w:t xml:space="preserve">aka </w:t>
      </w:r>
      <w:r w:rsidR="00880A60">
        <w:rPr>
          <w:b/>
        </w:rPr>
        <w:t xml:space="preserve">How Long Women Wait to </w:t>
      </w:r>
      <w:r w:rsidR="008040A6">
        <w:rPr>
          <w:b/>
        </w:rPr>
        <w:t>have</w:t>
      </w:r>
      <w:r w:rsidR="00880A60">
        <w:rPr>
          <w:b/>
        </w:rPr>
        <w:t xml:space="preserve"> their First Child</w:t>
      </w:r>
    </w:p>
    <w:p w:rsidR="00066145" w:rsidRDefault="00066145" w:rsidP="00B03238">
      <w:pPr>
        <w:rPr>
          <w:b/>
          <w:i/>
          <w:u w:val="single"/>
        </w:rPr>
      </w:pPr>
    </w:p>
    <w:p w:rsidR="00471289" w:rsidRPr="00A416D1" w:rsidRDefault="00471289" w:rsidP="00B03238">
      <w:pPr>
        <w:rPr>
          <w:b/>
          <w:i/>
          <w:u w:val="single"/>
        </w:rPr>
      </w:pPr>
      <w:r w:rsidRPr="00A416D1">
        <w:rPr>
          <w:b/>
          <w:i/>
          <w:u w:val="single"/>
        </w:rPr>
        <w:t>Introduction:</w:t>
      </w:r>
    </w:p>
    <w:p w:rsidR="00880A60" w:rsidRDefault="00880A60" w:rsidP="00B03238">
      <w:r>
        <w:t xml:space="preserve">Population growth is a topic of great importance for a number of reasons. City planning, </w:t>
      </w:r>
      <w:r w:rsidR="00D1307A">
        <w:t xml:space="preserve">planning and forecasting for </w:t>
      </w:r>
      <w:r>
        <w:t xml:space="preserve">public benefit programs such as Social Security, </w:t>
      </w:r>
      <w:r w:rsidR="00D1307A">
        <w:t xml:space="preserve">general </w:t>
      </w:r>
      <w:r>
        <w:t xml:space="preserve">economic planning and GDP growth all depend in no small part on the size and makeup of a country’s / a state’s  / a city’s population. One key element that contributes to population size and makeup is how early in life a woman decides to have children. </w:t>
      </w:r>
    </w:p>
    <w:p w:rsidR="00567758" w:rsidRDefault="00880A60" w:rsidP="00B03238">
      <w:r>
        <w:t>Modern advances in medicine have made it possible for women to delay starting a family</w:t>
      </w:r>
      <w:r w:rsidR="00D1307A">
        <w:t>. I</w:t>
      </w:r>
      <w:r w:rsidR="00567758">
        <w:t xml:space="preserve">ncreased education and economic independence are also factors that seem to contribute to women delaying childbirth. While there are a number of other factors affecting a population size and makeup, this study seeks to understand how women’s average age at which they have their first child has changed over time. </w:t>
      </w:r>
    </w:p>
    <w:p w:rsidR="00B03238" w:rsidRDefault="00567758" w:rsidP="00B03238">
      <w:r>
        <w:t>M</w:t>
      </w:r>
      <w:r w:rsidR="008E04EB">
        <w:t xml:space="preserve">y </w:t>
      </w:r>
      <w:r w:rsidR="00471289">
        <w:t xml:space="preserve">study will look </w:t>
      </w:r>
      <w:r w:rsidR="00D34C4A">
        <w:t xml:space="preserve">specifically </w:t>
      </w:r>
      <w:r w:rsidR="00471289">
        <w:t xml:space="preserve">at the data collected </w:t>
      </w:r>
      <w:r w:rsidR="008040A6">
        <w:t xml:space="preserve">on live births in the state of Michigan over the period 1971 to 2014. </w:t>
      </w:r>
      <w:r>
        <w:t xml:space="preserve"> </w:t>
      </w:r>
    </w:p>
    <w:p w:rsidR="00066145" w:rsidRDefault="00066145" w:rsidP="00B03238">
      <w:pPr>
        <w:rPr>
          <w:b/>
          <w:i/>
          <w:u w:val="single"/>
        </w:rPr>
      </w:pPr>
    </w:p>
    <w:p w:rsidR="00471289" w:rsidRDefault="00471289" w:rsidP="00B03238">
      <w:pPr>
        <w:rPr>
          <w:b/>
          <w:i/>
          <w:u w:val="single"/>
        </w:rPr>
      </w:pPr>
      <w:r w:rsidRPr="00A416D1">
        <w:rPr>
          <w:b/>
          <w:i/>
          <w:u w:val="single"/>
        </w:rPr>
        <w:t>Data:</w:t>
      </w:r>
    </w:p>
    <w:p w:rsidR="00F54AC6" w:rsidRDefault="008E04EB" w:rsidP="00B03238">
      <w:r>
        <w:t xml:space="preserve">The data for this study was sourced from </w:t>
      </w:r>
      <w:r w:rsidR="008040A6">
        <w:t xml:space="preserve">the website </w:t>
      </w:r>
      <w:hyperlink r:id="rId7" w:history="1">
        <w:r w:rsidR="008040A6" w:rsidRPr="009F41E6">
          <w:rPr>
            <w:rStyle w:val="Hyperlink"/>
          </w:rPr>
          <w:t>www.mdch.state.mi.us/osr/natality/Tab4.3.asp</w:t>
        </w:r>
      </w:hyperlink>
      <w:r w:rsidR="008040A6">
        <w:t xml:space="preserve"> and can be found on the “Raw Data” tab of the attached Excel file. The dataset was limited to years 1971 and beyond so as to capture approximately the past 40 years for our analysis. </w:t>
      </w:r>
    </w:p>
    <w:p w:rsidR="00F54AC6" w:rsidRDefault="00F54AC6" w:rsidP="00B03238">
      <w:r>
        <w:t xml:space="preserve">I calculated the average </w:t>
      </w:r>
      <w:bookmarkStart w:id="0" w:name="_GoBack"/>
      <w:r>
        <w:t>maternal age</w:t>
      </w:r>
      <w:bookmarkEnd w:id="0"/>
      <w:r>
        <w:t xml:space="preserve"> each year based on the number of live births in Michigan. Since </w:t>
      </w:r>
      <w:r w:rsidR="00D1307A">
        <w:t xml:space="preserve">each year’s </w:t>
      </w:r>
      <w:r>
        <w:t xml:space="preserve">data was grouped into 5-year age bands, I assumed that ages were uniformly distributed across each age band, and </w:t>
      </w:r>
      <w:r w:rsidR="00440A07">
        <w:t xml:space="preserve">excluded </w:t>
      </w:r>
      <w:r>
        <w:t xml:space="preserve">the data for women with no reported age </w:t>
      </w:r>
      <w:r w:rsidR="00066145">
        <w:t>from the analysis</w:t>
      </w:r>
      <w:r>
        <w:t xml:space="preserve">, in calculating the average age each year. It was this calculated average age </w:t>
      </w:r>
      <w:r w:rsidR="00D1307A">
        <w:t xml:space="preserve">for each year </w:t>
      </w:r>
      <w:r>
        <w:t xml:space="preserve">that was analyzed over a period of 40+ years. </w:t>
      </w:r>
    </w:p>
    <w:p w:rsidR="00066145" w:rsidRDefault="00A36576" w:rsidP="00B03238">
      <w:r>
        <w:t xml:space="preserve">Average </w:t>
      </w:r>
      <w:r w:rsidR="00407FAB">
        <w:t>M</w:t>
      </w:r>
      <w:r>
        <w:t xml:space="preserve">aternal Age by year is shown below. </w:t>
      </w:r>
    </w:p>
    <w:p w:rsidR="00407FAB" w:rsidRDefault="00407FAB" w:rsidP="00B03238">
      <w:r>
        <w:rPr>
          <w:noProof/>
        </w:rPr>
        <w:lastRenderedPageBreak/>
        <w:drawing>
          <wp:inline distT="0" distB="0" distL="0" distR="0" wp14:anchorId="20A926F9" wp14:editId="1448E7AA">
            <wp:extent cx="5943600" cy="2695575"/>
            <wp:effectExtent l="0" t="0" r="19050"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D1307A" w:rsidRDefault="00D1307A" w:rsidP="00B03238">
      <w:pPr>
        <w:rPr>
          <w:b/>
          <w:i/>
          <w:u w:val="single"/>
        </w:rPr>
      </w:pPr>
    </w:p>
    <w:p w:rsidR="00567758" w:rsidRPr="00F54AC6" w:rsidRDefault="00F54AC6" w:rsidP="00B03238">
      <w:pPr>
        <w:rPr>
          <w:b/>
          <w:i/>
          <w:u w:val="single"/>
        </w:rPr>
      </w:pPr>
      <w:r w:rsidRPr="00F54AC6">
        <w:rPr>
          <w:b/>
          <w:i/>
          <w:u w:val="single"/>
        </w:rPr>
        <w:t xml:space="preserve">Model Specification: </w:t>
      </w:r>
      <w:r w:rsidR="008040A6" w:rsidRPr="00F54AC6">
        <w:rPr>
          <w:b/>
          <w:i/>
          <w:u w:val="single"/>
        </w:rPr>
        <w:t xml:space="preserve"> </w:t>
      </w:r>
    </w:p>
    <w:p w:rsidR="005167E8" w:rsidRDefault="00CA4F08" w:rsidP="00B03238">
      <w:r>
        <w:t xml:space="preserve">Visual inspection of the above graph shows that there is clearly an upward trend in the average maternal </w:t>
      </w:r>
      <w:r w:rsidR="00CC436A">
        <w:t>ages</w:t>
      </w:r>
      <w:r>
        <w:t xml:space="preserve"> over the given timeframe.  In other words, the data would seem to be non-stationary in nature. I sought to verify this by </w:t>
      </w:r>
      <w:r w:rsidR="005167E8">
        <w:t>assessing the sample auto correlation function at various lags</w:t>
      </w:r>
      <w:r w:rsidR="004B1D7E">
        <w:t xml:space="preserve"> to investigate the potential relationship between current and past average maternal ages. </w:t>
      </w:r>
      <w:r w:rsidR="005167E8">
        <w:t xml:space="preserve"> </w:t>
      </w:r>
    </w:p>
    <w:p w:rsidR="004B1D7E" w:rsidRDefault="004B1D7E" w:rsidP="00B03238">
      <w:r>
        <w:t>The sample autocorrelation function formula is</w:t>
      </w:r>
      <w:r w:rsidR="00CC436A">
        <w:t xml:space="preserve"> given by </w:t>
      </w:r>
    </w:p>
    <w:p w:rsidR="004B1D7E" w:rsidRDefault="00CC436A" w:rsidP="00B03238">
      <w:r w:rsidRPr="0029295D">
        <w:rPr>
          <w:position w:val="-60"/>
        </w:rPr>
        <w:object w:dxaOrig="2540" w:dyaOrig="1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7.8pt;height:66pt" o:ole="">
            <v:imagedata r:id="rId9" o:title=""/>
          </v:shape>
          <o:OLEObject Type="Embed" ProgID="Equation.3" ShapeID="_x0000_i1025" DrawAspect="Content" ObjectID="_1543342064" r:id="rId10"/>
        </w:object>
      </w:r>
      <w:r>
        <w:t xml:space="preserve"> for lag k. </w:t>
      </w:r>
    </w:p>
    <w:p w:rsidR="005167E8" w:rsidRDefault="005167E8" w:rsidP="00B03238">
      <w:r>
        <w:t>As can be seen from the graph</w:t>
      </w:r>
      <w:r w:rsidR="00D1307A">
        <w:t xml:space="preserve"> below</w:t>
      </w:r>
      <w:r>
        <w:t xml:space="preserve">, the function starts near one, drops to </w:t>
      </w:r>
      <w:r w:rsidR="004B1D7E">
        <w:t>zero</w:t>
      </w:r>
      <w:r>
        <w:t xml:space="preserve"> near lag 1</w:t>
      </w:r>
      <w:r w:rsidR="00D1307A">
        <w:t>6</w:t>
      </w:r>
      <w:r>
        <w:t xml:space="preserve"> then continues sloping down to -0.4 and then back up to zero. This pattern indicates that the series is indeed non-stationary.</w:t>
      </w:r>
      <w:r w:rsidR="00CC17F0">
        <w:t xml:space="preserve"> If it were stationary I would expect the graph to quickly go to zero and stay there. However, that was not the case here. </w:t>
      </w:r>
      <w:r>
        <w:t xml:space="preserve"> </w:t>
      </w:r>
    </w:p>
    <w:p w:rsidR="005167E8" w:rsidRDefault="003F7B02" w:rsidP="00B03238">
      <w:r>
        <w:rPr>
          <w:noProof/>
        </w:rPr>
        <w:lastRenderedPageBreak/>
        <w:drawing>
          <wp:inline distT="0" distB="0" distL="0" distR="0" wp14:anchorId="5E988621" wp14:editId="739EFBB4">
            <wp:extent cx="5905500" cy="3519488"/>
            <wp:effectExtent l="0" t="0" r="19050" b="2413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4B1D7E" w:rsidRDefault="005167E8" w:rsidP="00B03238">
      <w:r>
        <w:t xml:space="preserve">Next I sought to assess the first differences of the series to determine </w:t>
      </w:r>
      <w:r w:rsidR="004B1D7E">
        <w:t xml:space="preserve">stationarity. </w:t>
      </w:r>
    </w:p>
    <w:p w:rsidR="00652F1C" w:rsidRDefault="004B1D7E" w:rsidP="00B03238">
      <w:r>
        <w:t>A</w:t>
      </w:r>
      <w:r w:rsidR="005167E8">
        <w:t xml:space="preserve">s the graph below shows, </w:t>
      </w:r>
      <w:r w:rsidR="00652F1C">
        <w:t xml:space="preserve">the first differences </w:t>
      </w:r>
      <w:r w:rsidR="00D34C4A">
        <w:t>move</w:t>
      </w:r>
      <w:r w:rsidR="00652F1C">
        <w:t xml:space="preserve"> up and down </w:t>
      </w:r>
      <w:r w:rsidR="00C454E5">
        <w:t xml:space="preserve">closely </w:t>
      </w:r>
      <w:r w:rsidR="00652F1C">
        <w:t xml:space="preserve">around zero (in the range -0.2 to .2). This indicates that the first differences are likely a stationary series. </w:t>
      </w:r>
    </w:p>
    <w:p w:rsidR="00D1307A" w:rsidRDefault="00D1307A" w:rsidP="00B03238"/>
    <w:p w:rsidR="00C454E5" w:rsidRDefault="00C454E5" w:rsidP="00B03238">
      <w:r>
        <w:rPr>
          <w:noProof/>
        </w:rPr>
        <w:drawing>
          <wp:inline distT="0" distB="0" distL="0" distR="0" wp14:anchorId="76726F42" wp14:editId="1F232E7D">
            <wp:extent cx="5943600" cy="3057525"/>
            <wp:effectExtent l="0" t="0" r="19050" b="952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D1307A" w:rsidRDefault="00D1307A" w:rsidP="00B03238"/>
    <w:p w:rsidR="005167E8" w:rsidRDefault="00652F1C" w:rsidP="00B03238">
      <w:r>
        <w:t xml:space="preserve">Next I assessed the </w:t>
      </w:r>
      <w:r w:rsidR="00CE3216">
        <w:t xml:space="preserve">sample </w:t>
      </w:r>
      <w:r>
        <w:t>autocorrelation function of the first differences</w:t>
      </w:r>
      <w:r w:rsidRPr="00C15641">
        <w:t xml:space="preserve">. Since the resulting graph </w:t>
      </w:r>
      <w:r w:rsidR="00C454E5" w:rsidRPr="00C15641">
        <w:t xml:space="preserve">(below) </w:t>
      </w:r>
      <w:r w:rsidRPr="00C15641">
        <w:t xml:space="preserve">also sticks close to zero in most cases, this </w:t>
      </w:r>
      <w:r w:rsidR="00D1307A" w:rsidRPr="00C15641">
        <w:t xml:space="preserve">also </w:t>
      </w:r>
      <w:r w:rsidRPr="00C15641">
        <w:t xml:space="preserve">indicates that it </w:t>
      </w:r>
      <w:r w:rsidR="00C15641" w:rsidRPr="00C15641">
        <w:t xml:space="preserve">could be a </w:t>
      </w:r>
      <w:r w:rsidRPr="00C15641">
        <w:t>stationary function.</w:t>
      </w:r>
      <w:r>
        <w:t xml:space="preserve"> </w:t>
      </w:r>
    </w:p>
    <w:p w:rsidR="009E4266" w:rsidRDefault="009E4266" w:rsidP="00B03238"/>
    <w:p w:rsidR="00DF1016" w:rsidRDefault="00264FD3" w:rsidP="00B03238">
      <w:r>
        <w:rPr>
          <w:noProof/>
        </w:rPr>
        <w:drawing>
          <wp:inline distT="0" distB="0" distL="0" distR="0" wp14:anchorId="594798BD" wp14:editId="50FE1BBD">
            <wp:extent cx="5943600" cy="3175000"/>
            <wp:effectExtent l="0" t="0" r="19050" b="2540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4039AD" w:rsidRDefault="004039AD" w:rsidP="004039AD">
      <w:pPr>
        <w:rPr>
          <w:highlight w:val="yellow"/>
        </w:rPr>
      </w:pPr>
    </w:p>
    <w:p w:rsidR="009873A5" w:rsidRDefault="00C15641" w:rsidP="00B03238">
      <w:r w:rsidRPr="009E0214">
        <w:t xml:space="preserve">I will </w:t>
      </w:r>
      <w:r w:rsidR="00652F1C" w:rsidRPr="009E0214">
        <w:t xml:space="preserve">model this series of average maternal age over time with an auto regressive function. </w:t>
      </w:r>
      <w:r w:rsidR="00042770">
        <w:t xml:space="preserve">As such, I considered the AR(1) and AR(2) </w:t>
      </w:r>
      <w:r w:rsidR="00652F1C" w:rsidRPr="00042770">
        <w:t>function</w:t>
      </w:r>
      <w:r w:rsidR="00042770" w:rsidRPr="00042770">
        <w:t>s</w:t>
      </w:r>
      <w:r w:rsidR="00652F1C" w:rsidRPr="00042770">
        <w:t xml:space="preserve">. </w:t>
      </w:r>
      <w:r w:rsidR="00652F1C">
        <w:t xml:space="preserve">In order to make </w:t>
      </w:r>
      <w:r w:rsidR="00042770">
        <w:t xml:space="preserve">a </w:t>
      </w:r>
      <w:r w:rsidR="00652F1C">
        <w:t>determination</w:t>
      </w:r>
      <w:r w:rsidR="00042770">
        <w:t xml:space="preserve"> between the two</w:t>
      </w:r>
      <w:r w:rsidR="00652F1C">
        <w:t xml:space="preserve">, I used Excel’s regression analysis functionality. </w:t>
      </w:r>
    </w:p>
    <w:p w:rsidR="009873A5" w:rsidRPr="00656500" w:rsidRDefault="009873A5" w:rsidP="00B03238">
      <w:pPr>
        <w:rPr>
          <w:b/>
          <w:i/>
          <w:u w:val="single"/>
        </w:rPr>
      </w:pPr>
      <w:r w:rsidRPr="00656500">
        <w:rPr>
          <w:b/>
          <w:i/>
          <w:u w:val="single"/>
        </w:rPr>
        <w:t>Model Diagnostics</w:t>
      </w:r>
      <w:r w:rsidR="00656500">
        <w:rPr>
          <w:b/>
          <w:i/>
          <w:u w:val="single"/>
        </w:rPr>
        <w:t>:</w:t>
      </w:r>
    </w:p>
    <w:p w:rsidR="007C0FEF" w:rsidRDefault="00652F1C" w:rsidP="0051092D">
      <w:pPr>
        <w:ind w:right="-7"/>
      </w:pPr>
      <w:r>
        <w:t xml:space="preserve">The results of </w:t>
      </w:r>
      <w:r w:rsidR="00983435">
        <w:t>M</w:t>
      </w:r>
      <w:r>
        <w:t xml:space="preserve">odel 1 (an AR(1) model with formula </w:t>
      </w:r>
      <w:r w:rsidR="00C15641" w:rsidRPr="00C15641">
        <w:rPr>
          <w:rFonts w:ascii="Arial" w:hAnsi="Arial" w:cs="Arial"/>
          <w:sz w:val="24"/>
          <w:szCs w:val="24"/>
        </w:rPr>
        <w:t>Y</w:t>
      </w:r>
      <w:r w:rsidR="00C15641" w:rsidRPr="00C15641">
        <w:rPr>
          <w:rFonts w:ascii="Arial" w:hAnsi="Arial" w:cs="Arial"/>
          <w:sz w:val="24"/>
          <w:szCs w:val="24"/>
          <w:vertAlign w:val="subscript"/>
        </w:rPr>
        <w:t>t</w:t>
      </w:r>
      <w:r w:rsidR="00C15641" w:rsidRPr="00C15641">
        <w:rPr>
          <w:rFonts w:ascii="Arial" w:hAnsi="Arial" w:cs="Arial"/>
          <w:sz w:val="24"/>
          <w:szCs w:val="24"/>
        </w:rPr>
        <w:t xml:space="preserve"> = φ</w:t>
      </w:r>
      <w:r w:rsidR="00C15641" w:rsidRPr="00C15641">
        <w:rPr>
          <w:rFonts w:ascii="Arial" w:hAnsi="Arial" w:cs="Arial"/>
          <w:sz w:val="24"/>
          <w:szCs w:val="24"/>
          <w:vertAlign w:val="subscript"/>
        </w:rPr>
        <w:t>1</w:t>
      </w:r>
      <w:r w:rsidR="00C15641" w:rsidRPr="00C15641">
        <w:rPr>
          <w:rFonts w:ascii="Arial" w:hAnsi="Arial" w:cs="Arial"/>
          <w:sz w:val="24"/>
          <w:szCs w:val="24"/>
        </w:rPr>
        <w:t>Y</w:t>
      </w:r>
      <w:r w:rsidR="00C15641" w:rsidRPr="00C15641">
        <w:rPr>
          <w:rFonts w:ascii="Arial" w:hAnsi="Arial" w:cs="Arial"/>
          <w:sz w:val="24"/>
          <w:szCs w:val="24"/>
          <w:vertAlign w:val="subscript"/>
        </w:rPr>
        <w:t>t-1</w:t>
      </w:r>
      <w:r w:rsidR="00C15641" w:rsidRPr="00C15641">
        <w:rPr>
          <w:rFonts w:ascii="Arial" w:hAnsi="Arial" w:cs="Arial"/>
          <w:sz w:val="24"/>
          <w:szCs w:val="24"/>
        </w:rPr>
        <w:t xml:space="preserve"> + ε</w:t>
      </w:r>
      <w:r w:rsidR="00C15641" w:rsidRPr="00C15641">
        <w:rPr>
          <w:rFonts w:ascii="Arial" w:hAnsi="Arial" w:cs="Arial"/>
          <w:sz w:val="24"/>
          <w:szCs w:val="24"/>
          <w:vertAlign w:val="subscript"/>
        </w:rPr>
        <w:t>t</w:t>
      </w:r>
      <w:r w:rsidR="00C15641">
        <w:rPr>
          <w:rFonts w:ascii="Arial" w:hAnsi="Arial" w:cs="Arial"/>
          <w:sz w:val="20"/>
          <w:vertAlign w:val="subscript"/>
        </w:rPr>
        <w:t xml:space="preserve"> </w:t>
      </w:r>
      <w:r w:rsidR="00983435">
        <w:t xml:space="preserve">and Model 2 (an AR(2) model with </w:t>
      </w:r>
      <w:r w:rsidR="00C15641" w:rsidRPr="00C15641">
        <w:rPr>
          <w:rFonts w:ascii="Arial" w:hAnsi="Arial" w:cs="Arial"/>
          <w:sz w:val="24"/>
          <w:szCs w:val="24"/>
        </w:rPr>
        <w:t>Y</w:t>
      </w:r>
      <w:r w:rsidR="00C15641" w:rsidRPr="00C15641">
        <w:rPr>
          <w:rFonts w:ascii="Arial" w:hAnsi="Arial" w:cs="Arial"/>
          <w:sz w:val="24"/>
          <w:szCs w:val="24"/>
          <w:vertAlign w:val="subscript"/>
        </w:rPr>
        <w:t>t</w:t>
      </w:r>
      <w:r w:rsidR="00C15641" w:rsidRPr="00C15641">
        <w:rPr>
          <w:rFonts w:ascii="Arial" w:hAnsi="Arial" w:cs="Arial"/>
          <w:sz w:val="24"/>
          <w:szCs w:val="24"/>
        </w:rPr>
        <w:t xml:space="preserve"> = φ</w:t>
      </w:r>
      <w:r w:rsidR="00C15641" w:rsidRPr="00C15641">
        <w:rPr>
          <w:rFonts w:ascii="Arial" w:hAnsi="Arial" w:cs="Arial"/>
          <w:sz w:val="24"/>
          <w:szCs w:val="24"/>
          <w:vertAlign w:val="subscript"/>
        </w:rPr>
        <w:t>1</w:t>
      </w:r>
      <w:r w:rsidR="00C15641" w:rsidRPr="00C15641">
        <w:rPr>
          <w:rFonts w:ascii="Arial" w:hAnsi="Arial" w:cs="Arial"/>
          <w:sz w:val="24"/>
          <w:szCs w:val="24"/>
        </w:rPr>
        <w:t>Y</w:t>
      </w:r>
      <w:r w:rsidR="00C15641" w:rsidRPr="00C15641">
        <w:rPr>
          <w:rFonts w:ascii="Arial" w:hAnsi="Arial" w:cs="Arial"/>
          <w:sz w:val="24"/>
          <w:szCs w:val="24"/>
          <w:vertAlign w:val="subscript"/>
        </w:rPr>
        <w:t>t-1</w:t>
      </w:r>
      <w:r w:rsidR="00C15641" w:rsidRPr="00C15641">
        <w:rPr>
          <w:rFonts w:ascii="Arial" w:hAnsi="Arial" w:cs="Arial"/>
          <w:sz w:val="24"/>
          <w:szCs w:val="24"/>
        </w:rPr>
        <w:t xml:space="preserve"> + φ</w:t>
      </w:r>
      <w:r w:rsidR="00C15641" w:rsidRPr="00C15641">
        <w:rPr>
          <w:rFonts w:ascii="Arial" w:hAnsi="Arial" w:cs="Arial"/>
          <w:sz w:val="24"/>
          <w:szCs w:val="24"/>
          <w:vertAlign w:val="subscript"/>
        </w:rPr>
        <w:t>2</w:t>
      </w:r>
      <w:r w:rsidR="00C15641" w:rsidRPr="00C15641">
        <w:rPr>
          <w:rFonts w:ascii="Arial" w:hAnsi="Arial" w:cs="Arial"/>
          <w:sz w:val="24"/>
          <w:szCs w:val="24"/>
        </w:rPr>
        <w:t>Y</w:t>
      </w:r>
      <w:r w:rsidR="00C15641" w:rsidRPr="00C15641">
        <w:rPr>
          <w:rFonts w:ascii="Arial" w:hAnsi="Arial" w:cs="Arial"/>
          <w:sz w:val="24"/>
          <w:szCs w:val="24"/>
          <w:vertAlign w:val="subscript"/>
        </w:rPr>
        <w:t>t-2</w:t>
      </w:r>
      <w:r w:rsidR="00C15641" w:rsidRPr="00C15641">
        <w:rPr>
          <w:rFonts w:ascii="Arial" w:hAnsi="Arial" w:cs="Arial"/>
          <w:sz w:val="24"/>
          <w:szCs w:val="24"/>
        </w:rPr>
        <w:t xml:space="preserve"> + ε</w:t>
      </w:r>
      <w:r w:rsidR="00C15641" w:rsidRPr="00C15641">
        <w:rPr>
          <w:rFonts w:ascii="Arial" w:hAnsi="Arial" w:cs="Arial"/>
          <w:sz w:val="24"/>
          <w:szCs w:val="24"/>
          <w:vertAlign w:val="subscript"/>
        </w:rPr>
        <w:t>t</w:t>
      </w:r>
      <w:r w:rsidR="00C15641">
        <w:rPr>
          <w:rFonts w:ascii="Arial" w:hAnsi="Arial" w:cs="Arial"/>
          <w:sz w:val="20"/>
          <w:vertAlign w:val="subscript"/>
        </w:rPr>
        <w:t xml:space="preserve"> </w:t>
      </w:r>
      <w:r w:rsidR="00983435">
        <w:t xml:space="preserve">are as follows: </w:t>
      </w:r>
    </w:p>
    <w:p w:rsidR="00983435" w:rsidRDefault="00264FD3" w:rsidP="00B03238">
      <w:r w:rsidRPr="00264FD3">
        <w:rPr>
          <w:noProof/>
        </w:rPr>
        <w:lastRenderedPageBreak/>
        <w:drawing>
          <wp:inline distT="0" distB="0" distL="0" distR="0" wp14:anchorId="1CBD9D8C" wp14:editId="3151C07A">
            <wp:extent cx="5943600" cy="3500789"/>
            <wp:effectExtent l="0" t="0" r="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3500789"/>
                    </a:xfrm>
                    <a:prstGeom prst="rect">
                      <a:avLst/>
                    </a:prstGeom>
                    <a:noFill/>
                    <a:ln>
                      <a:noFill/>
                    </a:ln>
                  </pic:spPr>
                </pic:pic>
              </a:graphicData>
            </a:graphic>
          </wp:inline>
        </w:drawing>
      </w:r>
    </w:p>
    <w:p w:rsidR="00264FD3" w:rsidRDefault="00264FD3" w:rsidP="00B03238">
      <w:r w:rsidRPr="00264FD3">
        <w:rPr>
          <w:noProof/>
        </w:rPr>
        <w:drawing>
          <wp:inline distT="0" distB="0" distL="0" distR="0" wp14:anchorId="36992CF1" wp14:editId="2D5DE12F">
            <wp:extent cx="5943600" cy="3672818"/>
            <wp:effectExtent l="0" t="0" r="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3672818"/>
                    </a:xfrm>
                    <a:prstGeom prst="rect">
                      <a:avLst/>
                    </a:prstGeom>
                    <a:noFill/>
                    <a:ln>
                      <a:noFill/>
                    </a:ln>
                  </pic:spPr>
                </pic:pic>
              </a:graphicData>
            </a:graphic>
          </wp:inline>
        </w:drawing>
      </w:r>
    </w:p>
    <w:p w:rsidR="00264FD3" w:rsidRDefault="00264FD3" w:rsidP="00B03238"/>
    <w:p w:rsidR="00CB4F67" w:rsidRDefault="00983435" w:rsidP="00B03238">
      <w:r>
        <w:t>Both models have a very high adjusted R</w:t>
      </w:r>
      <w:r w:rsidRPr="00FC295B">
        <w:rPr>
          <w:vertAlign w:val="superscript"/>
        </w:rPr>
        <w:t>2</w:t>
      </w:r>
      <w:r>
        <w:t xml:space="preserve"> value (99.3% for Model 1 and 99.5% for Model 2), indicating that Y</w:t>
      </w:r>
      <w:r w:rsidRPr="00FC295B">
        <w:rPr>
          <w:vertAlign w:val="subscript"/>
        </w:rPr>
        <w:t>t</w:t>
      </w:r>
      <w:r>
        <w:t xml:space="preserve"> is explained in large part by prior values of Y</w:t>
      </w:r>
      <w:r w:rsidR="00B91222">
        <w:t xml:space="preserve"> in both models</w:t>
      </w:r>
      <w:r>
        <w:t>.  The standard error</w:t>
      </w:r>
      <w:r w:rsidR="00B91222">
        <w:t xml:space="preserve"> is 0.10 for Model </w:t>
      </w:r>
      <w:r w:rsidR="00B91222">
        <w:lastRenderedPageBreak/>
        <w:t>1 and 0.08 for Model 2</w:t>
      </w:r>
      <w:r w:rsidR="00FC295B">
        <w:t>. T</w:t>
      </w:r>
      <w:r w:rsidR="00B91222">
        <w:t xml:space="preserve">his is fairly low in both cases </w:t>
      </w:r>
      <w:r w:rsidR="00B365AF">
        <w:t xml:space="preserve">and also pretty close </w:t>
      </w:r>
      <w:r w:rsidR="00FC295B">
        <w:t xml:space="preserve">in magnitude. </w:t>
      </w:r>
      <w:r w:rsidR="00B365AF">
        <w:t xml:space="preserve">Finally, the F-statistic for Model 1 (5719) is much bigger than the F-statistic for Model 2 (3850) indicating that Model 1 is better than Model 2. Based on the high </w:t>
      </w:r>
      <w:r w:rsidR="00FC295B">
        <w:t>adjusted R</w:t>
      </w:r>
      <w:r w:rsidR="00FC295B" w:rsidRPr="00FC295B">
        <w:rPr>
          <w:vertAlign w:val="superscript"/>
        </w:rPr>
        <w:t>2</w:t>
      </w:r>
      <w:r w:rsidR="00B365AF">
        <w:t xml:space="preserve">, the low standard error </w:t>
      </w:r>
      <w:r w:rsidR="00CB4F67">
        <w:t xml:space="preserve">and the better F-statistic, I have selected Model 1 </w:t>
      </w:r>
      <w:r w:rsidR="00FC295B">
        <w:t xml:space="preserve">(the AR(1) model) </w:t>
      </w:r>
      <w:r w:rsidR="00CB4F67">
        <w:t>as the better model to model the time series. Note that if Model 2 had slightly better characteristics than Model 1 I may have still selected Model 1 due to the principle of parsimony i.e. choosing Model 2 would seem to make the model unnecessarily complicated</w:t>
      </w:r>
      <w:r w:rsidR="00FC295B">
        <w:t xml:space="preserve"> while not adding much if any real value to the model</w:t>
      </w:r>
      <w:r w:rsidR="00CB4F67">
        <w:t xml:space="preserve">. </w:t>
      </w:r>
    </w:p>
    <w:p w:rsidR="00CB4F67" w:rsidRDefault="00CB4F67" w:rsidP="00B03238">
      <w:r>
        <w:t>So the selected model is AR(1) with:</w:t>
      </w:r>
    </w:p>
    <w:p w:rsidR="00CB4F67" w:rsidRDefault="00FC295B" w:rsidP="00B03238">
      <w:pPr>
        <w:rPr>
          <w:rFonts w:ascii="Cambria Math" w:eastAsiaTheme="minorEastAsia" w:hAnsi="Cambria Math"/>
          <w:sz w:val="28"/>
          <w:szCs w:val="28"/>
        </w:rPr>
      </w:pPr>
      <w:r w:rsidRPr="00FC295B">
        <w:rPr>
          <w:rFonts w:ascii="Cambria Math" w:hAnsi="Cambria Math"/>
          <w:sz w:val="28"/>
          <w:szCs w:val="28"/>
        </w:rPr>
        <w:t>Y</w:t>
      </w:r>
      <w:r w:rsidRPr="00FC295B">
        <w:rPr>
          <w:rFonts w:ascii="Cambria Math" w:hAnsi="Cambria Math"/>
          <w:sz w:val="28"/>
          <w:szCs w:val="28"/>
          <w:vertAlign w:val="subscript"/>
        </w:rPr>
        <w:t>t</w:t>
      </w:r>
      <w:r w:rsidR="00CB4F67" w:rsidRPr="00FC295B">
        <w:rPr>
          <w:rFonts w:ascii="Cambria Math" w:hAnsi="Cambria Math"/>
          <w:sz w:val="28"/>
          <w:szCs w:val="28"/>
        </w:rPr>
        <w:t xml:space="preserve"> = 0.236 + 0.994 Y</w:t>
      </w:r>
      <w:r w:rsidR="00CB4F67" w:rsidRPr="00E01D21">
        <w:rPr>
          <w:rFonts w:ascii="Cambria Math" w:hAnsi="Cambria Math"/>
          <w:sz w:val="28"/>
          <w:szCs w:val="28"/>
          <w:vertAlign w:val="subscript"/>
        </w:rPr>
        <w:t>t-1</w:t>
      </w:r>
      <w:r w:rsidR="00CB4F67" w:rsidRPr="00FC295B">
        <w:rPr>
          <w:rFonts w:ascii="Cambria Math" w:hAnsi="Cambria Math"/>
          <w:sz w:val="28"/>
          <w:szCs w:val="28"/>
        </w:rPr>
        <w:t xml:space="preserve"> </w:t>
      </w:r>
      <m:oMath>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t</m:t>
            </m:r>
          </m:sub>
        </m:sSub>
      </m:oMath>
    </w:p>
    <w:p w:rsidR="00E01D21" w:rsidRPr="00E01D21" w:rsidRDefault="00E01D21" w:rsidP="00B03238">
      <w:r w:rsidRPr="00E01D21">
        <w:t xml:space="preserve">Note that since the coefficient of </w:t>
      </w:r>
      <w:r w:rsidRPr="00E01D21">
        <w:rPr>
          <w:rFonts w:ascii="Cambria Math" w:hAnsi="Cambria Math"/>
        </w:rPr>
        <w:t>Yt-1</w:t>
      </w:r>
      <w:r w:rsidRPr="00E01D21">
        <w:t xml:space="preserve"> is less than 1, this confirms that the AR(1) model is stationary. </w:t>
      </w:r>
    </w:p>
    <w:p w:rsidR="008040A6" w:rsidRPr="00460055" w:rsidRDefault="00CB4F67" w:rsidP="00B03238">
      <w:pPr>
        <w:rPr>
          <w:b/>
          <w:i/>
          <w:u w:val="single"/>
        </w:rPr>
      </w:pPr>
      <w:r>
        <w:t xml:space="preserve"> </w:t>
      </w:r>
      <w:r w:rsidR="00460055">
        <w:rPr>
          <w:b/>
          <w:i/>
          <w:u w:val="single"/>
        </w:rPr>
        <w:t>Conclusion:</w:t>
      </w:r>
      <w:r w:rsidR="005167E8">
        <w:t xml:space="preserve"> </w:t>
      </w:r>
    </w:p>
    <w:p w:rsidR="00264FD3" w:rsidRDefault="00264FD3" w:rsidP="00264FD3">
      <w:r>
        <w:t xml:space="preserve">A graph of the actual versus fitted values from the AR(1) model above shows that the model closely captures actual experience. </w:t>
      </w:r>
    </w:p>
    <w:p w:rsidR="002010C5" w:rsidRDefault="002010C5" w:rsidP="00264FD3">
      <w:r>
        <w:rPr>
          <w:noProof/>
        </w:rPr>
        <w:drawing>
          <wp:inline distT="0" distB="0" distL="0" distR="0" wp14:anchorId="0DC9091A" wp14:editId="18AB4743">
            <wp:extent cx="5943600" cy="4019550"/>
            <wp:effectExtent l="0" t="0" r="19050" b="1905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567758" w:rsidRPr="00A416D1" w:rsidRDefault="00440A07" w:rsidP="00B03238">
      <w:pPr>
        <w:rPr>
          <w:b/>
          <w:i/>
          <w:u w:val="single"/>
        </w:rPr>
      </w:pPr>
      <w:r>
        <w:t xml:space="preserve">The fit combined with the high adjusted R2 value, low standard error and high F-statistic lead me to believe that this is a good model for average maternal age. </w:t>
      </w:r>
    </w:p>
    <w:sectPr w:rsidR="00567758" w:rsidRPr="00A416D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36BB" w:rsidRDefault="006136BB" w:rsidP="00AD7721">
      <w:pPr>
        <w:spacing w:after="0" w:line="240" w:lineRule="auto"/>
      </w:pPr>
      <w:r>
        <w:separator/>
      </w:r>
    </w:p>
  </w:endnote>
  <w:endnote w:type="continuationSeparator" w:id="0">
    <w:p w:rsidR="006136BB" w:rsidRDefault="006136BB" w:rsidP="00AD77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36BB" w:rsidRDefault="006136BB" w:rsidP="00AD7721">
      <w:pPr>
        <w:spacing w:after="0" w:line="240" w:lineRule="auto"/>
      </w:pPr>
      <w:r>
        <w:separator/>
      </w:r>
    </w:p>
  </w:footnote>
  <w:footnote w:type="continuationSeparator" w:id="0">
    <w:p w:rsidR="006136BB" w:rsidRDefault="006136BB" w:rsidP="00AD772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238"/>
    <w:rsid w:val="000019CE"/>
    <w:rsid w:val="00001BFB"/>
    <w:rsid w:val="00003140"/>
    <w:rsid w:val="00003770"/>
    <w:rsid w:val="00004464"/>
    <w:rsid w:val="00005276"/>
    <w:rsid w:val="00005858"/>
    <w:rsid w:val="00011F5A"/>
    <w:rsid w:val="00013754"/>
    <w:rsid w:val="00014540"/>
    <w:rsid w:val="00015000"/>
    <w:rsid w:val="0001611E"/>
    <w:rsid w:val="0002061C"/>
    <w:rsid w:val="00021730"/>
    <w:rsid w:val="00022F42"/>
    <w:rsid w:val="00023982"/>
    <w:rsid w:val="00024007"/>
    <w:rsid w:val="0002668E"/>
    <w:rsid w:val="00027D4E"/>
    <w:rsid w:val="00030E28"/>
    <w:rsid w:val="000328A2"/>
    <w:rsid w:val="00034B36"/>
    <w:rsid w:val="00034FF7"/>
    <w:rsid w:val="000357F2"/>
    <w:rsid w:val="00035A38"/>
    <w:rsid w:val="00036EE1"/>
    <w:rsid w:val="00037538"/>
    <w:rsid w:val="00040770"/>
    <w:rsid w:val="00042770"/>
    <w:rsid w:val="00042F19"/>
    <w:rsid w:val="000505C3"/>
    <w:rsid w:val="00053982"/>
    <w:rsid w:val="00054050"/>
    <w:rsid w:val="00057872"/>
    <w:rsid w:val="000600F6"/>
    <w:rsid w:val="00060BD2"/>
    <w:rsid w:val="0006251F"/>
    <w:rsid w:val="00063FE3"/>
    <w:rsid w:val="00064ED2"/>
    <w:rsid w:val="00066145"/>
    <w:rsid w:val="00066738"/>
    <w:rsid w:val="00067F52"/>
    <w:rsid w:val="000720EA"/>
    <w:rsid w:val="0007274A"/>
    <w:rsid w:val="00072B38"/>
    <w:rsid w:val="00072F76"/>
    <w:rsid w:val="0007395C"/>
    <w:rsid w:val="00073AC8"/>
    <w:rsid w:val="0007749C"/>
    <w:rsid w:val="00077DBA"/>
    <w:rsid w:val="000819D2"/>
    <w:rsid w:val="00081A61"/>
    <w:rsid w:val="0008407F"/>
    <w:rsid w:val="0008446D"/>
    <w:rsid w:val="000848C0"/>
    <w:rsid w:val="000859DA"/>
    <w:rsid w:val="00086883"/>
    <w:rsid w:val="00086A6C"/>
    <w:rsid w:val="00087522"/>
    <w:rsid w:val="00090993"/>
    <w:rsid w:val="0009141D"/>
    <w:rsid w:val="00091FB3"/>
    <w:rsid w:val="00092CF4"/>
    <w:rsid w:val="000937C9"/>
    <w:rsid w:val="00094274"/>
    <w:rsid w:val="0009455A"/>
    <w:rsid w:val="0009529B"/>
    <w:rsid w:val="00096EEE"/>
    <w:rsid w:val="00097423"/>
    <w:rsid w:val="000A0B0E"/>
    <w:rsid w:val="000A198A"/>
    <w:rsid w:val="000A1A7F"/>
    <w:rsid w:val="000A30BA"/>
    <w:rsid w:val="000A3F44"/>
    <w:rsid w:val="000A4EC5"/>
    <w:rsid w:val="000A6682"/>
    <w:rsid w:val="000B21B9"/>
    <w:rsid w:val="000B3A53"/>
    <w:rsid w:val="000B465F"/>
    <w:rsid w:val="000B6954"/>
    <w:rsid w:val="000B77ED"/>
    <w:rsid w:val="000C1C74"/>
    <w:rsid w:val="000C1CF2"/>
    <w:rsid w:val="000C21B6"/>
    <w:rsid w:val="000C5584"/>
    <w:rsid w:val="000C65B2"/>
    <w:rsid w:val="000C6BC5"/>
    <w:rsid w:val="000C6C08"/>
    <w:rsid w:val="000C73E5"/>
    <w:rsid w:val="000D05DF"/>
    <w:rsid w:val="000D0621"/>
    <w:rsid w:val="000D36B0"/>
    <w:rsid w:val="000D3FCD"/>
    <w:rsid w:val="000D6E85"/>
    <w:rsid w:val="000E0403"/>
    <w:rsid w:val="000E241B"/>
    <w:rsid w:val="000E27D5"/>
    <w:rsid w:val="000E491C"/>
    <w:rsid w:val="000E6639"/>
    <w:rsid w:val="000E78E9"/>
    <w:rsid w:val="000F268B"/>
    <w:rsid w:val="000F3E57"/>
    <w:rsid w:val="000F5520"/>
    <w:rsid w:val="000F599E"/>
    <w:rsid w:val="000F7AF0"/>
    <w:rsid w:val="00100F8F"/>
    <w:rsid w:val="00101238"/>
    <w:rsid w:val="00101763"/>
    <w:rsid w:val="001023A9"/>
    <w:rsid w:val="00105A59"/>
    <w:rsid w:val="0010792A"/>
    <w:rsid w:val="00107D59"/>
    <w:rsid w:val="001112E0"/>
    <w:rsid w:val="0011266A"/>
    <w:rsid w:val="00112A26"/>
    <w:rsid w:val="00112ABF"/>
    <w:rsid w:val="00113F7A"/>
    <w:rsid w:val="00114A6E"/>
    <w:rsid w:val="00116902"/>
    <w:rsid w:val="0011694F"/>
    <w:rsid w:val="00116F98"/>
    <w:rsid w:val="00120675"/>
    <w:rsid w:val="001211E4"/>
    <w:rsid w:val="00121920"/>
    <w:rsid w:val="001228AE"/>
    <w:rsid w:val="00123A7D"/>
    <w:rsid w:val="00125562"/>
    <w:rsid w:val="00125A2B"/>
    <w:rsid w:val="00125B4C"/>
    <w:rsid w:val="0012712E"/>
    <w:rsid w:val="001275D0"/>
    <w:rsid w:val="00127682"/>
    <w:rsid w:val="001278EB"/>
    <w:rsid w:val="00127AC9"/>
    <w:rsid w:val="00127F84"/>
    <w:rsid w:val="00130DC6"/>
    <w:rsid w:val="001315B0"/>
    <w:rsid w:val="00132C94"/>
    <w:rsid w:val="00136436"/>
    <w:rsid w:val="00141B80"/>
    <w:rsid w:val="00145B8E"/>
    <w:rsid w:val="00145E5A"/>
    <w:rsid w:val="001465BF"/>
    <w:rsid w:val="00146CAD"/>
    <w:rsid w:val="00150076"/>
    <w:rsid w:val="001505DF"/>
    <w:rsid w:val="00151714"/>
    <w:rsid w:val="0015215B"/>
    <w:rsid w:val="00152B12"/>
    <w:rsid w:val="001535D3"/>
    <w:rsid w:val="00154117"/>
    <w:rsid w:val="001563EF"/>
    <w:rsid w:val="00156BC0"/>
    <w:rsid w:val="0015758B"/>
    <w:rsid w:val="00161573"/>
    <w:rsid w:val="00161629"/>
    <w:rsid w:val="001632A9"/>
    <w:rsid w:val="001634B3"/>
    <w:rsid w:val="0016352D"/>
    <w:rsid w:val="00164215"/>
    <w:rsid w:val="001645A2"/>
    <w:rsid w:val="0016481F"/>
    <w:rsid w:val="001648F5"/>
    <w:rsid w:val="00164A80"/>
    <w:rsid w:val="00165AD1"/>
    <w:rsid w:val="00167271"/>
    <w:rsid w:val="00170579"/>
    <w:rsid w:val="00171DE0"/>
    <w:rsid w:val="00171EA7"/>
    <w:rsid w:val="001751EF"/>
    <w:rsid w:val="001757E9"/>
    <w:rsid w:val="0017623F"/>
    <w:rsid w:val="001811EB"/>
    <w:rsid w:val="00181326"/>
    <w:rsid w:val="0018331F"/>
    <w:rsid w:val="00183451"/>
    <w:rsid w:val="001836E7"/>
    <w:rsid w:val="00184CA9"/>
    <w:rsid w:val="00186159"/>
    <w:rsid w:val="001869B4"/>
    <w:rsid w:val="00186D8C"/>
    <w:rsid w:val="00186E96"/>
    <w:rsid w:val="00192558"/>
    <w:rsid w:val="00192809"/>
    <w:rsid w:val="00193370"/>
    <w:rsid w:val="0019348C"/>
    <w:rsid w:val="001938D6"/>
    <w:rsid w:val="00193BD0"/>
    <w:rsid w:val="001A0273"/>
    <w:rsid w:val="001A0D48"/>
    <w:rsid w:val="001A0DD5"/>
    <w:rsid w:val="001A3379"/>
    <w:rsid w:val="001A377B"/>
    <w:rsid w:val="001A602A"/>
    <w:rsid w:val="001A7644"/>
    <w:rsid w:val="001B18BF"/>
    <w:rsid w:val="001B2485"/>
    <w:rsid w:val="001B326B"/>
    <w:rsid w:val="001B38FA"/>
    <w:rsid w:val="001B492E"/>
    <w:rsid w:val="001B6315"/>
    <w:rsid w:val="001B6749"/>
    <w:rsid w:val="001B6E4B"/>
    <w:rsid w:val="001B7E4C"/>
    <w:rsid w:val="001C006D"/>
    <w:rsid w:val="001C26E7"/>
    <w:rsid w:val="001C481D"/>
    <w:rsid w:val="001C629B"/>
    <w:rsid w:val="001C737A"/>
    <w:rsid w:val="001D1364"/>
    <w:rsid w:val="001D4831"/>
    <w:rsid w:val="001D4B96"/>
    <w:rsid w:val="001D53D4"/>
    <w:rsid w:val="001D599E"/>
    <w:rsid w:val="001D5C3E"/>
    <w:rsid w:val="001D5FE9"/>
    <w:rsid w:val="001D785A"/>
    <w:rsid w:val="001E1DF7"/>
    <w:rsid w:val="001E4D92"/>
    <w:rsid w:val="001E5118"/>
    <w:rsid w:val="001E68DE"/>
    <w:rsid w:val="001F15E5"/>
    <w:rsid w:val="001F3A03"/>
    <w:rsid w:val="001F4049"/>
    <w:rsid w:val="001F4E51"/>
    <w:rsid w:val="001F7891"/>
    <w:rsid w:val="001F7E32"/>
    <w:rsid w:val="00200C12"/>
    <w:rsid w:val="002010C5"/>
    <w:rsid w:val="00202B49"/>
    <w:rsid w:val="0020420D"/>
    <w:rsid w:val="00210B04"/>
    <w:rsid w:val="00211523"/>
    <w:rsid w:val="00214F61"/>
    <w:rsid w:val="002154FA"/>
    <w:rsid w:val="00215F20"/>
    <w:rsid w:val="002172FF"/>
    <w:rsid w:val="0022052B"/>
    <w:rsid w:val="00220AD2"/>
    <w:rsid w:val="0022108F"/>
    <w:rsid w:val="00222404"/>
    <w:rsid w:val="00223436"/>
    <w:rsid w:val="0022713E"/>
    <w:rsid w:val="002278FA"/>
    <w:rsid w:val="00233002"/>
    <w:rsid w:val="002335E4"/>
    <w:rsid w:val="00240720"/>
    <w:rsid w:val="00241ADC"/>
    <w:rsid w:val="00241EC8"/>
    <w:rsid w:val="00243895"/>
    <w:rsid w:val="00244A4E"/>
    <w:rsid w:val="00244F28"/>
    <w:rsid w:val="002452DC"/>
    <w:rsid w:val="00250D1A"/>
    <w:rsid w:val="00251496"/>
    <w:rsid w:val="0025234A"/>
    <w:rsid w:val="002532C2"/>
    <w:rsid w:val="00256D91"/>
    <w:rsid w:val="00257D0C"/>
    <w:rsid w:val="00260BF2"/>
    <w:rsid w:val="00262F52"/>
    <w:rsid w:val="00264BAB"/>
    <w:rsid w:val="00264FD3"/>
    <w:rsid w:val="00265587"/>
    <w:rsid w:val="00267479"/>
    <w:rsid w:val="002737FF"/>
    <w:rsid w:val="002805C5"/>
    <w:rsid w:val="00280D9F"/>
    <w:rsid w:val="0028236B"/>
    <w:rsid w:val="002852AA"/>
    <w:rsid w:val="00286756"/>
    <w:rsid w:val="00286EF9"/>
    <w:rsid w:val="002879A7"/>
    <w:rsid w:val="0029043A"/>
    <w:rsid w:val="00292BAD"/>
    <w:rsid w:val="00293B36"/>
    <w:rsid w:val="0029573F"/>
    <w:rsid w:val="00295BEF"/>
    <w:rsid w:val="0029779D"/>
    <w:rsid w:val="00297B1A"/>
    <w:rsid w:val="00297C74"/>
    <w:rsid w:val="002A0F98"/>
    <w:rsid w:val="002A2326"/>
    <w:rsid w:val="002A2A00"/>
    <w:rsid w:val="002A3A24"/>
    <w:rsid w:val="002A4279"/>
    <w:rsid w:val="002A53BE"/>
    <w:rsid w:val="002A7888"/>
    <w:rsid w:val="002B129A"/>
    <w:rsid w:val="002B281F"/>
    <w:rsid w:val="002B48E9"/>
    <w:rsid w:val="002B4A82"/>
    <w:rsid w:val="002B4AA6"/>
    <w:rsid w:val="002B5013"/>
    <w:rsid w:val="002B530D"/>
    <w:rsid w:val="002B6EF6"/>
    <w:rsid w:val="002C0905"/>
    <w:rsid w:val="002C4A6D"/>
    <w:rsid w:val="002C734E"/>
    <w:rsid w:val="002D0A57"/>
    <w:rsid w:val="002D0E65"/>
    <w:rsid w:val="002D137E"/>
    <w:rsid w:val="002D2BE4"/>
    <w:rsid w:val="002D3690"/>
    <w:rsid w:val="002D5434"/>
    <w:rsid w:val="002D5AC2"/>
    <w:rsid w:val="002D6A7A"/>
    <w:rsid w:val="002D7343"/>
    <w:rsid w:val="002E076E"/>
    <w:rsid w:val="002E11F6"/>
    <w:rsid w:val="002E1E1B"/>
    <w:rsid w:val="002E3F54"/>
    <w:rsid w:val="002E5403"/>
    <w:rsid w:val="002E5607"/>
    <w:rsid w:val="002E5615"/>
    <w:rsid w:val="002E61E6"/>
    <w:rsid w:val="002E6D67"/>
    <w:rsid w:val="002F1793"/>
    <w:rsid w:val="002F182E"/>
    <w:rsid w:val="002F2FFA"/>
    <w:rsid w:val="002F47A5"/>
    <w:rsid w:val="00303378"/>
    <w:rsid w:val="00303EC1"/>
    <w:rsid w:val="00304D61"/>
    <w:rsid w:val="00306B4A"/>
    <w:rsid w:val="0030748E"/>
    <w:rsid w:val="0031211C"/>
    <w:rsid w:val="00314D7C"/>
    <w:rsid w:val="00316DCF"/>
    <w:rsid w:val="003173AF"/>
    <w:rsid w:val="003201CE"/>
    <w:rsid w:val="00322461"/>
    <w:rsid w:val="00322463"/>
    <w:rsid w:val="00326297"/>
    <w:rsid w:val="00331BD1"/>
    <w:rsid w:val="00332339"/>
    <w:rsid w:val="00335CFA"/>
    <w:rsid w:val="00335EE4"/>
    <w:rsid w:val="00337A29"/>
    <w:rsid w:val="003402CE"/>
    <w:rsid w:val="0034061D"/>
    <w:rsid w:val="0034073D"/>
    <w:rsid w:val="00340A55"/>
    <w:rsid w:val="00341FC3"/>
    <w:rsid w:val="003425E8"/>
    <w:rsid w:val="00345DE2"/>
    <w:rsid w:val="003471E0"/>
    <w:rsid w:val="00347B55"/>
    <w:rsid w:val="003503C8"/>
    <w:rsid w:val="003519F2"/>
    <w:rsid w:val="00352145"/>
    <w:rsid w:val="00352597"/>
    <w:rsid w:val="00352F4F"/>
    <w:rsid w:val="00353836"/>
    <w:rsid w:val="003546AC"/>
    <w:rsid w:val="00355BE8"/>
    <w:rsid w:val="003560A7"/>
    <w:rsid w:val="00356920"/>
    <w:rsid w:val="003610AE"/>
    <w:rsid w:val="0036162E"/>
    <w:rsid w:val="00362D59"/>
    <w:rsid w:val="00363238"/>
    <w:rsid w:val="00363CAB"/>
    <w:rsid w:val="00367CD0"/>
    <w:rsid w:val="00370776"/>
    <w:rsid w:val="00370A86"/>
    <w:rsid w:val="00371FCC"/>
    <w:rsid w:val="00372B08"/>
    <w:rsid w:val="003733A8"/>
    <w:rsid w:val="00373BD6"/>
    <w:rsid w:val="00373D90"/>
    <w:rsid w:val="00380575"/>
    <w:rsid w:val="003828B9"/>
    <w:rsid w:val="003833A8"/>
    <w:rsid w:val="00386517"/>
    <w:rsid w:val="00390555"/>
    <w:rsid w:val="00390E46"/>
    <w:rsid w:val="00391899"/>
    <w:rsid w:val="0039308F"/>
    <w:rsid w:val="0039572D"/>
    <w:rsid w:val="00396FF3"/>
    <w:rsid w:val="0039756A"/>
    <w:rsid w:val="003A05C7"/>
    <w:rsid w:val="003A2BC7"/>
    <w:rsid w:val="003A2DB5"/>
    <w:rsid w:val="003A2E26"/>
    <w:rsid w:val="003A3A06"/>
    <w:rsid w:val="003A447D"/>
    <w:rsid w:val="003A4651"/>
    <w:rsid w:val="003A4C16"/>
    <w:rsid w:val="003A4E01"/>
    <w:rsid w:val="003A5490"/>
    <w:rsid w:val="003A7C0A"/>
    <w:rsid w:val="003B3938"/>
    <w:rsid w:val="003B51B4"/>
    <w:rsid w:val="003B527A"/>
    <w:rsid w:val="003B69FA"/>
    <w:rsid w:val="003C02F7"/>
    <w:rsid w:val="003C055B"/>
    <w:rsid w:val="003C0898"/>
    <w:rsid w:val="003C2820"/>
    <w:rsid w:val="003C47A2"/>
    <w:rsid w:val="003C4E4E"/>
    <w:rsid w:val="003C5FD0"/>
    <w:rsid w:val="003D0727"/>
    <w:rsid w:val="003D1F0B"/>
    <w:rsid w:val="003D2CC5"/>
    <w:rsid w:val="003D2E5B"/>
    <w:rsid w:val="003D36B8"/>
    <w:rsid w:val="003D4314"/>
    <w:rsid w:val="003D6F4D"/>
    <w:rsid w:val="003D7179"/>
    <w:rsid w:val="003E04CD"/>
    <w:rsid w:val="003E2D2A"/>
    <w:rsid w:val="003E33CD"/>
    <w:rsid w:val="003E4771"/>
    <w:rsid w:val="003E786A"/>
    <w:rsid w:val="003F1C24"/>
    <w:rsid w:val="003F245A"/>
    <w:rsid w:val="003F29BB"/>
    <w:rsid w:val="003F5ABB"/>
    <w:rsid w:val="003F5ADF"/>
    <w:rsid w:val="003F7B02"/>
    <w:rsid w:val="00400687"/>
    <w:rsid w:val="00402431"/>
    <w:rsid w:val="00402507"/>
    <w:rsid w:val="004039AD"/>
    <w:rsid w:val="00404E25"/>
    <w:rsid w:val="00404F9D"/>
    <w:rsid w:val="00405431"/>
    <w:rsid w:val="00407FAB"/>
    <w:rsid w:val="00410617"/>
    <w:rsid w:val="00410DE9"/>
    <w:rsid w:val="00412B44"/>
    <w:rsid w:val="00413940"/>
    <w:rsid w:val="00414BC4"/>
    <w:rsid w:val="00414FB9"/>
    <w:rsid w:val="00415637"/>
    <w:rsid w:val="00415A17"/>
    <w:rsid w:val="0041689A"/>
    <w:rsid w:val="004217B3"/>
    <w:rsid w:val="00422D25"/>
    <w:rsid w:val="00422E65"/>
    <w:rsid w:val="004236D6"/>
    <w:rsid w:val="004239FD"/>
    <w:rsid w:val="00425564"/>
    <w:rsid w:val="00425E2F"/>
    <w:rsid w:val="00431837"/>
    <w:rsid w:val="00431E4D"/>
    <w:rsid w:val="004341EB"/>
    <w:rsid w:val="00435CD2"/>
    <w:rsid w:val="00435F38"/>
    <w:rsid w:val="00436593"/>
    <w:rsid w:val="004367BD"/>
    <w:rsid w:val="00440A07"/>
    <w:rsid w:val="00441678"/>
    <w:rsid w:val="004418B7"/>
    <w:rsid w:val="00441BF1"/>
    <w:rsid w:val="00441C2F"/>
    <w:rsid w:val="00441FA5"/>
    <w:rsid w:val="00441FE1"/>
    <w:rsid w:val="004442DF"/>
    <w:rsid w:val="00445C0E"/>
    <w:rsid w:val="00446197"/>
    <w:rsid w:val="004468D3"/>
    <w:rsid w:val="004506C2"/>
    <w:rsid w:val="004538F0"/>
    <w:rsid w:val="00453F4E"/>
    <w:rsid w:val="0045484D"/>
    <w:rsid w:val="004548BD"/>
    <w:rsid w:val="0045538F"/>
    <w:rsid w:val="00456CFF"/>
    <w:rsid w:val="0045753D"/>
    <w:rsid w:val="00457D91"/>
    <w:rsid w:val="00460055"/>
    <w:rsid w:val="004604CB"/>
    <w:rsid w:val="00462E25"/>
    <w:rsid w:val="00465EF6"/>
    <w:rsid w:val="004674D2"/>
    <w:rsid w:val="00470453"/>
    <w:rsid w:val="00470C21"/>
    <w:rsid w:val="00471289"/>
    <w:rsid w:val="0047332A"/>
    <w:rsid w:val="0047568D"/>
    <w:rsid w:val="004764F6"/>
    <w:rsid w:val="0048028A"/>
    <w:rsid w:val="00480F95"/>
    <w:rsid w:val="00481A41"/>
    <w:rsid w:val="00481D15"/>
    <w:rsid w:val="004853EE"/>
    <w:rsid w:val="004858AC"/>
    <w:rsid w:val="00487B9B"/>
    <w:rsid w:val="00487BA2"/>
    <w:rsid w:val="0049179C"/>
    <w:rsid w:val="00492E14"/>
    <w:rsid w:val="00493B2A"/>
    <w:rsid w:val="004940F8"/>
    <w:rsid w:val="00497FEE"/>
    <w:rsid w:val="004A261F"/>
    <w:rsid w:val="004A5311"/>
    <w:rsid w:val="004A6E08"/>
    <w:rsid w:val="004B05C6"/>
    <w:rsid w:val="004B14AB"/>
    <w:rsid w:val="004B1D7E"/>
    <w:rsid w:val="004B29B3"/>
    <w:rsid w:val="004B42CD"/>
    <w:rsid w:val="004B5D4C"/>
    <w:rsid w:val="004C04DB"/>
    <w:rsid w:val="004C0678"/>
    <w:rsid w:val="004C185C"/>
    <w:rsid w:val="004C1D51"/>
    <w:rsid w:val="004C3EA9"/>
    <w:rsid w:val="004C5567"/>
    <w:rsid w:val="004C5796"/>
    <w:rsid w:val="004C791E"/>
    <w:rsid w:val="004D0093"/>
    <w:rsid w:val="004D0F2C"/>
    <w:rsid w:val="004D293F"/>
    <w:rsid w:val="004D3184"/>
    <w:rsid w:val="004D363E"/>
    <w:rsid w:val="004D3BC1"/>
    <w:rsid w:val="004D40D0"/>
    <w:rsid w:val="004D4BF2"/>
    <w:rsid w:val="004D521C"/>
    <w:rsid w:val="004D5FFB"/>
    <w:rsid w:val="004D7257"/>
    <w:rsid w:val="004D72F3"/>
    <w:rsid w:val="004D7B34"/>
    <w:rsid w:val="004E1AA9"/>
    <w:rsid w:val="004E1B11"/>
    <w:rsid w:val="004E382F"/>
    <w:rsid w:val="004E3A49"/>
    <w:rsid w:val="004E3D85"/>
    <w:rsid w:val="004E460A"/>
    <w:rsid w:val="004E4DDA"/>
    <w:rsid w:val="004E5CA4"/>
    <w:rsid w:val="004E66C1"/>
    <w:rsid w:val="004E6F56"/>
    <w:rsid w:val="004E78D1"/>
    <w:rsid w:val="004F155D"/>
    <w:rsid w:val="004F24FF"/>
    <w:rsid w:val="004F26E4"/>
    <w:rsid w:val="004F275A"/>
    <w:rsid w:val="004F3405"/>
    <w:rsid w:val="004F3856"/>
    <w:rsid w:val="004F39BB"/>
    <w:rsid w:val="004F39BE"/>
    <w:rsid w:val="004F3E3F"/>
    <w:rsid w:val="004F3F26"/>
    <w:rsid w:val="004F67CD"/>
    <w:rsid w:val="004F70E6"/>
    <w:rsid w:val="004F783F"/>
    <w:rsid w:val="004F7E2D"/>
    <w:rsid w:val="00501EDF"/>
    <w:rsid w:val="0050237D"/>
    <w:rsid w:val="00502CC5"/>
    <w:rsid w:val="00503282"/>
    <w:rsid w:val="00504A8C"/>
    <w:rsid w:val="005053BA"/>
    <w:rsid w:val="0051092D"/>
    <w:rsid w:val="00511C60"/>
    <w:rsid w:val="00513C20"/>
    <w:rsid w:val="00515E03"/>
    <w:rsid w:val="005167E8"/>
    <w:rsid w:val="0052303F"/>
    <w:rsid w:val="00523F5B"/>
    <w:rsid w:val="005245B0"/>
    <w:rsid w:val="00530C82"/>
    <w:rsid w:val="0053172A"/>
    <w:rsid w:val="00532393"/>
    <w:rsid w:val="00533A05"/>
    <w:rsid w:val="00534194"/>
    <w:rsid w:val="00534CEB"/>
    <w:rsid w:val="005364EC"/>
    <w:rsid w:val="00541488"/>
    <w:rsid w:val="005416F4"/>
    <w:rsid w:val="00544C93"/>
    <w:rsid w:val="00547650"/>
    <w:rsid w:val="005476D8"/>
    <w:rsid w:val="00547D55"/>
    <w:rsid w:val="00547F1C"/>
    <w:rsid w:val="0055144C"/>
    <w:rsid w:val="0055185C"/>
    <w:rsid w:val="005518E2"/>
    <w:rsid w:val="005574CF"/>
    <w:rsid w:val="0056103C"/>
    <w:rsid w:val="00562C1D"/>
    <w:rsid w:val="005632B2"/>
    <w:rsid w:val="00563F62"/>
    <w:rsid w:val="00565B5D"/>
    <w:rsid w:val="00567758"/>
    <w:rsid w:val="00570A13"/>
    <w:rsid w:val="00570F48"/>
    <w:rsid w:val="00571DE1"/>
    <w:rsid w:val="00573B03"/>
    <w:rsid w:val="00574312"/>
    <w:rsid w:val="00574D06"/>
    <w:rsid w:val="00574DA0"/>
    <w:rsid w:val="00575B39"/>
    <w:rsid w:val="00576A3A"/>
    <w:rsid w:val="005772FC"/>
    <w:rsid w:val="00577602"/>
    <w:rsid w:val="00577DD0"/>
    <w:rsid w:val="0058010F"/>
    <w:rsid w:val="00580C95"/>
    <w:rsid w:val="00581072"/>
    <w:rsid w:val="005821D3"/>
    <w:rsid w:val="005824CF"/>
    <w:rsid w:val="00582B43"/>
    <w:rsid w:val="00583012"/>
    <w:rsid w:val="00583710"/>
    <w:rsid w:val="00585A3E"/>
    <w:rsid w:val="00586F7C"/>
    <w:rsid w:val="0059087E"/>
    <w:rsid w:val="005934AC"/>
    <w:rsid w:val="0059382A"/>
    <w:rsid w:val="00593DDA"/>
    <w:rsid w:val="00594EBA"/>
    <w:rsid w:val="00595281"/>
    <w:rsid w:val="00595689"/>
    <w:rsid w:val="00596852"/>
    <w:rsid w:val="005A1883"/>
    <w:rsid w:val="005A1ECB"/>
    <w:rsid w:val="005A3320"/>
    <w:rsid w:val="005A34AF"/>
    <w:rsid w:val="005A6A3C"/>
    <w:rsid w:val="005A6AF1"/>
    <w:rsid w:val="005A75CE"/>
    <w:rsid w:val="005B043C"/>
    <w:rsid w:val="005B2CBD"/>
    <w:rsid w:val="005B34EB"/>
    <w:rsid w:val="005B7145"/>
    <w:rsid w:val="005C1B3F"/>
    <w:rsid w:val="005C3262"/>
    <w:rsid w:val="005C4EEC"/>
    <w:rsid w:val="005C510B"/>
    <w:rsid w:val="005C52B4"/>
    <w:rsid w:val="005C55D7"/>
    <w:rsid w:val="005C63CE"/>
    <w:rsid w:val="005C64CC"/>
    <w:rsid w:val="005C74A5"/>
    <w:rsid w:val="005D0345"/>
    <w:rsid w:val="005D14E5"/>
    <w:rsid w:val="005D1662"/>
    <w:rsid w:val="005D1994"/>
    <w:rsid w:val="005D3378"/>
    <w:rsid w:val="005D4DB9"/>
    <w:rsid w:val="005D5EB4"/>
    <w:rsid w:val="005D636A"/>
    <w:rsid w:val="005D706F"/>
    <w:rsid w:val="005E01EC"/>
    <w:rsid w:val="005E3276"/>
    <w:rsid w:val="005E5F94"/>
    <w:rsid w:val="005E7BA4"/>
    <w:rsid w:val="005F402D"/>
    <w:rsid w:val="005F5413"/>
    <w:rsid w:val="005F61D5"/>
    <w:rsid w:val="005F6E34"/>
    <w:rsid w:val="005F6E46"/>
    <w:rsid w:val="00600C78"/>
    <w:rsid w:val="00600F2F"/>
    <w:rsid w:val="00600FCB"/>
    <w:rsid w:val="006044A3"/>
    <w:rsid w:val="00604A5C"/>
    <w:rsid w:val="006051C9"/>
    <w:rsid w:val="00610C6D"/>
    <w:rsid w:val="006110C5"/>
    <w:rsid w:val="006110FE"/>
    <w:rsid w:val="00611395"/>
    <w:rsid w:val="00611573"/>
    <w:rsid w:val="006136BB"/>
    <w:rsid w:val="0061439A"/>
    <w:rsid w:val="0061534B"/>
    <w:rsid w:val="0061554C"/>
    <w:rsid w:val="006157B6"/>
    <w:rsid w:val="00616136"/>
    <w:rsid w:val="00617622"/>
    <w:rsid w:val="006179F8"/>
    <w:rsid w:val="00617EE9"/>
    <w:rsid w:val="0062045A"/>
    <w:rsid w:val="00622375"/>
    <w:rsid w:val="00623192"/>
    <w:rsid w:val="00624270"/>
    <w:rsid w:val="006254CC"/>
    <w:rsid w:val="0063106C"/>
    <w:rsid w:val="0063129C"/>
    <w:rsid w:val="006318CA"/>
    <w:rsid w:val="006376DC"/>
    <w:rsid w:val="0064213C"/>
    <w:rsid w:val="00643F51"/>
    <w:rsid w:val="00645249"/>
    <w:rsid w:val="00645C9C"/>
    <w:rsid w:val="00647F2D"/>
    <w:rsid w:val="00651043"/>
    <w:rsid w:val="00651397"/>
    <w:rsid w:val="00652F1C"/>
    <w:rsid w:val="00654B85"/>
    <w:rsid w:val="006550C3"/>
    <w:rsid w:val="00656297"/>
    <w:rsid w:val="00656475"/>
    <w:rsid w:val="00656500"/>
    <w:rsid w:val="00656CF7"/>
    <w:rsid w:val="00657A60"/>
    <w:rsid w:val="00657C5B"/>
    <w:rsid w:val="0066066B"/>
    <w:rsid w:val="0066237C"/>
    <w:rsid w:val="00664F55"/>
    <w:rsid w:val="00665004"/>
    <w:rsid w:val="006669D6"/>
    <w:rsid w:val="00667ED2"/>
    <w:rsid w:val="006723A2"/>
    <w:rsid w:val="00672512"/>
    <w:rsid w:val="00672F78"/>
    <w:rsid w:val="006765C0"/>
    <w:rsid w:val="00676746"/>
    <w:rsid w:val="006810D9"/>
    <w:rsid w:val="0068153B"/>
    <w:rsid w:val="006817C3"/>
    <w:rsid w:val="00681E01"/>
    <w:rsid w:val="00683A96"/>
    <w:rsid w:val="00685B31"/>
    <w:rsid w:val="00685EA0"/>
    <w:rsid w:val="00686381"/>
    <w:rsid w:val="00687099"/>
    <w:rsid w:val="00687EE0"/>
    <w:rsid w:val="0069034F"/>
    <w:rsid w:val="0069096D"/>
    <w:rsid w:val="006916C7"/>
    <w:rsid w:val="006930EF"/>
    <w:rsid w:val="00695D37"/>
    <w:rsid w:val="006961D4"/>
    <w:rsid w:val="006970BF"/>
    <w:rsid w:val="006A3251"/>
    <w:rsid w:val="006A5322"/>
    <w:rsid w:val="006A6379"/>
    <w:rsid w:val="006B056B"/>
    <w:rsid w:val="006B151B"/>
    <w:rsid w:val="006B380A"/>
    <w:rsid w:val="006B4414"/>
    <w:rsid w:val="006B5A5D"/>
    <w:rsid w:val="006B6F38"/>
    <w:rsid w:val="006B7BDE"/>
    <w:rsid w:val="006C0A19"/>
    <w:rsid w:val="006C15BE"/>
    <w:rsid w:val="006C2113"/>
    <w:rsid w:val="006C2AED"/>
    <w:rsid w:val="006C64D1"/>
    <w:rsid w:val="006D037F"/>
    <w:rsid w:val="006D1278"/>
    <w:rsid w:val="006D3625"/>
    <w:rsid w:val="006D37E3"/>
    <w:rsid w:val="006D49B2"/>
    <w:rsid w:val="006D5D54"/>
    <w:rsid w:val="006D5FB0"/>
    <w:rsid w:val="006D67F7"/>
    <w:rsid w:val="006E23BE"/>
    <w:rsid w:val="006E3C13"/>
    <w:rsid w:val="006E3C25"/>
    <w:rsid w:val="006E5142"/>
    <w:rsid w:val="006E67FE"/>
    <w:rsid w:val="006E6B17"/>
    <w:rsid w:val="006E6B41"/>
    <w:rsid w:val="006E6FCE"/>
    <w:rsid w:val="006E714C"/>
    <w:rsid w:val="006E73F1"/>
    <w:rsid w:val="006E76BA"/>
    <w:rsid w:val="006E7A22"/>
    <w:rsid w:val="006E7C5A"/>
    <w:rsid w:val="006F011F"/>
    <w:rsid w:val="006F0D2F"/>
    <w:rsid w:val="006F423C"/>
    <w:rsid w:val="006F633C"/>
    <w:rsid w:val="006F6803"/>
    <w:rsid w:val="00704E6C"/>
    <w:rsid w:val="00710354"/>
    <w:rsid w:val="00711380"/>
    <w:rsid w:val="007121C5"/>
    <w:rsid w:val="0071397A"/>
    <w:rsid w:val="00713BD6"/>
    <w:rsid w:val="007170F3"/>
    <w:rsid w:val="00717B42"/>
    <w:rsid w:val="00717C37"/>
    <w:rsid w:val="00720AB5"/>
    <w:rsid w:val="00724086"/>
    <w:rsid w:val="007301C8"/>
    <w:rsid w:val="0073221A"/>
    <w:rsid w:val="00732DBC"/>
    <w:rsid w:val="00733735"/>
    <w:rsid w:val="00733A74"/>
    <w:rsid w:val="007349BB"/>
    <w:rsid w:val="00735274"/>
    <w:rsid w:val="007365CA"/>
    <w:rsid w:val="0073789E"/>
    <w:rsid w:val="00737BB0"/>
    <w:rsid w:val="00740214"/>
    <w:rsid w:val="0074059E"/>
    <w:rsid w:val="00740A0E"/>
    <w:rsid w:val="00740FDD"/>
    <w:rsid w:val="007417B6"/>
    <w:rsid w:val="00741FAE"/>
    <w:rsid w:val="00745195"/>
    <w:rsid w:val="00745BF6"/>
    <w:rsid w:val="007518D3"/>
    <w:rsid w:val="007519BC"/>
    <w:rsid w:val="007520C3"/>
    <w:rsid w:val="00752CF3"/>
    <w:rsid w:val="00756924"/>
    <w:rsid w:val="00760CFF"/>
    <w:rsid w:val="007611D2"/>
    <w:rsid w:val="00761FC0"/>
    <w:rsid w:val="00762201"/>
    <w:rsid w:val="00762574"/>
    <w:rsid w:val="00765387"/>
    <w:rsid w:val="00766D2B"/>
    <w:rsid w:val="0076774A"/>
    <w:rsid w:val="00770B6B"/>
    <w:rsid w:val="00772CE9"/>
    <w:rsid w:val="00772ED3"/>
    <w:rsid w:val="00775DCA"/>
    <w:rsid w:val="00775FBC"/>
    <w:rsid w:val="007763A6"/>
    <w:rsid w:val="00776A34"/>
    <w:rsid w:val="00777F37"/>
    <w:rsid w:val="00782431"/>
    <w:rsid w:val="00782D4C"/>
    <w:rsid w:val="00783113"/>
    <w:rsid w:val="00784223"/>
    <w:rsid w:val="00784444"/>
    <w:rsid w:val="007846F7"/>
    <w:rsid w:val="0078551E"/>
    <w:rsid w:val="007869F6"/>
    <w:rsid w:val="00786CA4"/>
    <w:rsid w:val="00786EA8"/>
    <w:rsid w:val="0079125D"/>
    <w:rsid w:val="0079202A"/>
    <w:rsid w:val="00793DE9"/>
    <w:rsid w:val="00794D9C"/>
    <w:rsid w:val="007952EC"/>
    <w:rsid w:val="00795568"/>
    <w:rsid w:val="00795F1D"/>
    <w:rsid w:val="007A1340"/>
    <w:rsid w:val="007A409D"/>
    <w:rsid w:val="007A5C6A"/>
    <w:rsid w:val="007A68C9"/>
    <w:rsid w:val="007A6CE1"/>
    <w:rsid w:val="007B1367"/>
    <w:rsid w:val="007B2237"/>
    <w:rsid w:val="007B2387"/>
    <w:rsid w:val="007B2C28"/>
    <w:rsid w:val="007B31C2"/>
    <w:rsid w:val="007B3D14"/>
    <w:rsid w:val="007C0C55"/>
    <w:rsid w:val="007C0FEF"/>
    <w:rsid w:val="007C1A0E"/>
    <w:rsid w:val="007C1DB6"/>
    <w:rsid w:val="007C5C67"/>
    <w:rsid w:val="007C677A"/>
    <w:rsid w:val="007C799C"/>
    <w:rsid w:val="007D0527"/>
    <w:rsid w:val="007D0571"/>
    <w:rsid w:val="007D14A3"/>
    <w:rsid w:val="007D25A4"/>
    <w:rsid w:val="007D3651"/>
    <w:rsid w:val="007D6E21"/>
    <w:rsid w:val="007E03F0"/>
    <w:rsid w:val="007E18C6"/>
    <w:rsid w:val="007E1B11"/>
    <w:rsid w:val="007E1C66"/>
    <w:rsid w:val="007E1DC2"/>
    <w:rsid w:val="007E4161"/>
    <w:rsid w:val="007E4A03"/>
    <w:rsid w:val="007E4B35"/>
    <w:rsid w:val="007E4EFF"/>
    <w:rsid w:val="007E6546"/>
    <w:rsid w:val="007E6550"/>
    <w:rsid w:val="007F013A"/>
    <w:rsid w:val="007F1D65"/>
    <w:rsid w:val="007F2F10"/>
    <w:rsid w:val="007F31E0"/>
    <w:rsid w:val="007F34E3"/>
    <w:rsid w:val="007F3BD5"/>
    <w:rsid w:val="007F4F7F"/>
    <w:rsid w:val="007F637A"/>
    <w:rsid w:val="007F65E9"/>
    <w:rsid w:val="00800A1C"/>
    <w:rsid w:val="00801687"/>
    <w:rsid w:val="00801690"/>
    <w:rsid w:val="0080329E"/>
    <w:rsid w:val="008032A0"/>
    <w:rsid w:val="00803422"/>
    <w:rsid w:val="00804067"/>
    <w:rsid w:val="008040A6"/>
    <w:rsid w:val="00804D3B"/>
    <w:rsid w:val="00811D34"/>
    <w:rsid w:val="00811F48"/>
    <w:rsid w:val="008120AF"/>
    <w:rsid w:val="00813BEB"/>
    <w:rsid w:val="00814061"/>
    <w:rsid w:val="0081428A"/>
    <w:rsid w:val="008157CB"/>
    <w:rsid w:val="008163C5"/>
    <w:rsid w:val="008177FC"/>
    <w:rsid w:val="00817FBF"/>
    <w:rsid w:val="00822EF0"/>
    <w:rsid w:val="00822FBD"/>
    <w:rsid w:val="00823AAF"/>
    <w:rsid w:val="00823DAC"/>
    <w:rsid w:val="00825091"/>
    <w:rsid w:val="00825300"/>
    <w:rsid w:val="008260D7"/>
    <w:rsid w:val="0082689D"/>
    <w:rsid w:val="00826C3F"/>
    <w:rsid w:val="00827770"/>
    <w:rsid w:val="00830C35"/>
    <w:rsid w:val="008310E7"/>
    <w:rsid w:val="00831F81"/>
    <w:rsid w:val="008322B4"/>
    <w:rsid w:val="00832FCD"/>
    <w:rsid w:val="00833860"/>
    <w:rsid w:val="0083428C"/>
    <w:rsid w:val="00834533"/>
    <w:rsid w:val="00835216"/>
    <w:rsid w:val="008364EA"/>
    <w:rsid w:val="00837D10"/>
    <w:rsid w:val="00840C79"/>
    <w:rsid w:val="0084271C"/>
    <w:rsid w:val="00844FE7"/>
    <w:rsid w:val="008463BF"/>
    <w:rsid w:val="00846796"/>
    <w:rsid w:val="00847DDB"/>
    <w:rsid w:val="00852244"/>
    <w:rsid w:val="0085253A"/>
    <w:rsid w:val="00852A28"/>
    <w:rsid w:val="00853970"/>
    <w:rsid w:val="008540A3"/>
    <w:rsid w:val="008558C6"/>
    <w:rsid w:val="0086462E"/>
    <w:rsid w:val="00865D0E"/>
    <w:rsid w:val="008706A7"/>
    <w:rsid w:val="00871EA4"/>
    <w:rsid w:val="00873432"/>
    <w:rsid w:val="008736A0"/>
    <w:rsid w:val="008739CC"/>
    <w:rsid w:val="008756A4"/>
    <w:rsid w:val="00877CA5"/>
    <w:rsid w:val="00880456"/>
    <w:rsid w:val="00880A60"/>
    <w:rsid w:val="00880FBD"/>
    <w:rsid w:val="00882285"/>
    <w:rsid w:val="00883CB8"/>
    <w:rsid w:val="00886406"/>
    <w:rsid w:val="00887FED"/>
    <w:rsid w:val="00891602"/>
    <w:rsid w:val="00892983"/>
    <w:rsid w:val="00892D20"/>
    <w:rsid w:val="00892D2A"/>
    <w:rsid w:val="008947AA"/>
    <w:rsid w:val="00894C3A"/>
    <w:rsid w:val="00895866"/>
    <w:rsid w:val="0089614B"/>
    <w:rsid w:val="008971BE"/>
    <w:rsid w:val="008A38D9"/>
    <w:rsid w:val="008A3C23"/>
    <w:rsid w:val="008A3D66"/>
    <w:rsid w:val="008B01D2"/>
    <w:rsid w:val="008B0A3E"/>
    <w:rsid w:val="008B17FB"/>
    <w:rsid w:val="008B20C6"/>
    <w:rsid w:val="008B3216"/>
    <w:rsid w:val="008B58E5"/>
    <w:rsid w:val="008B5A73"/>
    <w:rsid w:val="008B6274"/>
    <w:rsid w:val="008B770F"/>
    <w:rsid w:val="008B7E98"/>
    <w:rsid w:val="008C0610"/>
    <w:rsid w:val="008C0851"/>
    <w:rsid w:val="008C0ACA"/>
    <w:rsid w:val="008C303F"/>
    <w:rsid w:val="008C3040"/>
    <w:rsid w:val="008C32F9"/>
    <w:rsid w:val="008C4955"/>
    <w:rsid w:val="008C4A80"/>
    <w:rsid w:val="008C4B5E"/>
    <w:rsid w:val="008C539A"/>
    <w:rsid w:val="008C5EFE"/>
    <w:rsid w:val="008C7D85"/>
    <w:rsid w:val="008D09CB"/>
    <w:rsid w:val="008D208F"/>
    <w:rsid w:val="008D24E7"/>
    <w:rsid w:val="008D3007"/>
    <w:rsid w:val="008D5177"/>
    <w:rsid w:val="008D52D8"/>
    <w:rsid w:val="008D5AD7"/>
    <w:rsid w:val="008D5B98"/>
    <w:rsid w:val="008D69F9"/>
    <w:rsid w:val="008D6D6C"/>
    <w:rsid w:val="008D7C57"/>
    <w:rsid w:val="008D7D2B"/>
    <w:rsid w:val="008E04EB"/>
    <w:rsid w:val="008E1DD6"/>
    <w:rsid w:val="008E1F14"/>
    <w:rsid w:val="008E261F"/>
    <w:rsid w:val="008E46D2"/>
    <w:rsid w:val="008E4D4D"/>
    <w:rsid w:val="008E5E4F"/>
    <w:rsid w:val="008E62B6"/>
    <w:rsid w:val="008E71DB"/>
    <w:rsid w:val="008E77A0"/>
    <w:rsid w:val="008F347C"/>
    <w:rsid w:val="008F3711"/>
    <w:rsid w:val="008F3BC0"/>
    <w:rsid w:val="008F4190"/>
    <w:rsid w:val="008F569A"/>
    <w:rsid w:val="008F62B9"/>
    <w:rsid w:val="00901F2E"/>
    <w:rsid w:val="00903C7A"/>
    <w:rsid w:val="009053DB"/>
    <w:rsid w:val="00905795"/>
    <w:rsid w:val="0091252A"/>
    <w:rsid w:val="00913B0E"/>
    <w:rsid w:val="009169D8"/>
    <w:rsid w:val="00916E94"/>
    <w:rsid w:val="009176A0"/>
    <w:rsid w:val="00920618"/>
    <w:rsid w:val="00920D01"/>
    <w:rsid w:val="00920DF0"/>
    <w:rsid w:val="00922F82"/>
    <w:rsid w:val="009238DD"/>
    <w:rsid w:val="00923FD7"/>
    <w:rsid w:val="009268F5"/>
    <w:rsid w:val="00927BEB"/>
    <w:rsid w:val="00927CE1"/>
    <w:rsid w:val="00935B93"/>
    <w:rsid w:val="00936837"/>
    <w:rsid w:val="009410A0"/>
    <w:rsid w:val="00941EB2"/>
    <w:rsid w:val="00942C22"/>
    <w:rsid w:val="00943C24"/>
    <w:rsid w:val="00946EED"/>
    <w:rsid w:val="009500B7"/>
    <w:rsid w:val="0095249A"/>
    <w:rsid w:val="00954403"/>
    <w:rsid w:val="00957FAD"/>
    <w:rsid w:val="009612AA"/>
    <w:rsid w:val="0096132E"/>
    <w:rsid w:val="009623AF"/>
    <w:rsid w:val="00962AAC"/>
    <w:rsid w:val="00963476"/>
    <w:rsid w:val="009640ED"/>
    <w:rsid w:val="00964AEC"/>
    <w:rsid w:val="00965A1D"/>
    <w:rsid w:val="00966F7E"/>
    <w:rsid w:val="00967F25"/>
    <w:rsid w:val="00967F4C"/>
    <w:rsid w:val="00972636"/>
    <w:rsid w:val="00973B21"/>
    <w:rsid w:val="009756B7"/>
    <w:rsid w:val="00975ADA"/>
    <w:rsid w:val="009778D1"/>
    <w:rsid w:val="00977968"/>
    <w:rsid w:val="00977F7D"/>
    <w:rsid w:val="009818A0"/>
    <w:rsid w:val="00981A21"/>
    <w:rsid w:val="00981B52"/>
    <w:rsid w:val="00981D65"/>
    <w:rsid w:val="00983435"/>
    <w:rsid w:val="009849E6"/>
    <w:rsid w:val="0098535E"/>
    <w:rsid w:val="009858A2"/>
    <w:rsid w:val="0098599F"/>
    <w:rsid w:val="009873A5"/>
    <w:rsid w:val="00990ED8"/>
    <w:rsid w:val="00993347"/>
    <w:rsid w:val="00993F95"/>
    <w:rsid w:val="00994B7B"/>
    <w:rsid w:val="00995221"/>
    <w:rsid w:val="00995611"/>
    <w:rsid w:val="00996FCB"/>
    <w:rsid w:val="009A214F"/>
    <w:rsid w:val="009A24E3"/>
    <w:rsid w:val="009A427D"/>
    <w:rsid w:val="009A6D5F"/>
    <w:rsid w:val="009A7B4A"/>
    <w:rsid w:val="009B57A2"/>
    <w:rsid w:val="009B5F7C"/>
    <w:rsid w:val="009B6D88"/>
    <w:rsid w:val="009C0238"/>
    <w:rsid w:val="009C15C3"/>
    <w:rsid w:val="009C2C87"/>
    <w:rsid w:val="009C399E"/>
    <w:rsid w:val="009D16E2"/>
    <w:rsid w:val="009D3316"/>
    <w:rsid w:val="009D462D"/>
    <w:rsid w:val="009D49F7"/>
    <w:rsid w:val="009D6D46"/>
    <w:rsid w:val="009D6F62"/>
    <w:rsid w:val="009D6FCB"/>
    <w:rsid w:val="009E0214"/>
    <w:rsid w:val="009E05C5"/>
    <w:rsid w:val="009E08CB"/>
    <w:rsid w:val="009E099D"/>
    <w:rsid w:val="009E2FDD"/>
    <w:rsid w:val="009E414E"/>
    <w:rsid w:val="009E4266"/>
    <w:rsid w:val="009E4A89"/>
    <w:rsid w:val="009E5F04"/>
    <w:rsid w:val="009E6D50"/>
    <w:rsid w:val="009F1C31"/>
    <w:rsid w:val="009F1E7E"/>
    <w:rsid w:val="009F2ED4"/>
    <w:rsid w:val="009F365A"/>
    <w:rsid w:val="009F3804"/>
    <w:rsid w:val="009F3C78"/>
    <w:rsid w:val="009F4112"/>
    <w:rsid w:val="009F4388"/>
    <w:rsid w:val="009F5215"/>
    <w:rsid w:val="009F5FB8"/>
    <w:rsid w:val="009F6417"/>
    <w:rsid w:val="009F78DB"/>
    <w:rsid w:val="00A007B6"/>
    <w:rsid w:val="00A00BA5"/>
    <w:rsid w:val="00A01DFB"/>
    <w:rsid w:val="00A03FFE"/>
    <w:rsid w:val="00A04EAE"/>
    <w:rsid w:val="00A052D4"/>
    <w:rsid w:val="00A1123F"/>
    <w:rsid w:val="00A11639"/>
    <w:rsid w:val="00A11977"/>
    <w:rsid w:val="00A11BD3"/>
    <w:rsid w:val="00A11CDE"/>
    <w:rsid w:val="00A120BD"/>
    <w:rsid w:val="00A154B2"/>
    <w:rsid w:val="00A15506"/>
    <w:rsid w:val="00A15A8F"/>
    <w:rsid w:val="00A1729D"/>
    <w:rsid w:val="00A20640"/>
    <w:rsid w:val="00A20D41"/>
    <w:rsid w:val="00A226EB"/>
    <w:rsid w:val="00A227BB"/>
    <w:rsid w:val="00A24981"/>
    <w:rsid w:val="00A24C01"/>
    <w:rsid w:val="00A2548C"/>
    <w:rsid w:val="00A26A7B"/>
    <w:rsid w:val="00A26FD9"/>
    <w:rsid w:val="00A30B87"/>
    <w:rsid w:val="00A30B8D"/>
    <w:rsid w:val="00A32979"/>
    <w:rsid w:val="00A33ECD"/>
    <w:rsid w:val="00A34AFB"/>
    <w:rsid w:val="00A354ED"/>
    <w:rsid w:val="00A35C48"/>
    <w:rsid w:val="00A36576"/>
    <w:rsid w:val="00A365D0"/>
    <w:rsid w:val="00A4044B"/>
    <w:rsid w:val="00A416D1"/>
    <w:rsid w:val="00A41F25"/>
    <w:rsid w:val="00A438CB"/>
    <w:rsid w:val="00A43F3C"/>
    <w:rsid w:val="00A4413D"/>
    <w:rsid w:val="00A441CC"/>
    <w:rsid w:val="00A442C1"/>
    <w:rsid w:val="00A45308"/>
    <w:rsid w:val="00A454E5"/>
    <w:rsid w:val="00A5473A"/>
    <w:rsid w:val="00A54D9B"/>
    <w:rsid w:val="00A560ED"/>
    <w:rsid w:val="00A572DD"/>
    <w:rsid w:val="00A579E2"/>
    <w:rsid w:val="00A608CC"/>
    <w:rsid w:val="00A64438"/>
    <w:rsid w:val="00A64EFB"/>
    <w:rsid w:val="00A65D55"/>
    <w:rsid w:val="00A67485"/>
    <w:rsid w:val="00A71502"/>
    <w:rsid w:val="00A71FF2"/>
    <w:rsid w:val="00A73DCF"/>
    <w:rsid w:val="00A75ACA"/>
    <w:rsid w:val="00A800C8"/>
    <w:rsid w:val="00A8071D"/>
    <w:rsid w:val="00A83B8E"/>
    <w:rsid w:val="00A849B9"/>
    <w:rsid w:val="00A8558D"/>
    <w:rsid w:val="00A85AC5"/>
    <w:rsid w:val="00A86539"/>
    <w:rsid w:val="00A92465"/>
    <w:rsid w:val="00A92619"/>
    <w:rsid w:val="00A92A6F"/>
    <w:rsid w:val="00A93B17"/>
    <w:rsid w:val="00A94CBA"/>
    <w:rsid w:val="00A95830"/>
    <w:rsid w:val="00A95B4C"/>
    <w:rsid w:val="00AA0172"/>
    <w:rsid w:val="00AA26F5"/>
    <w:rsid w:val="00AA2841"/>
    <w:rsid w:val="00AA2C29"/>
    <w:rsid w:val="00AA6B0F"/>
    <w:rsid w:val="00AB06AF"/>
    <w:rsid w:val="00AB1CE5"/>
    <w:rsid w:val="00AB1D41"/>
    <w:rsid w:val="00AB2377"/>
    <w:rsid w:val="00AB3102"/>
    <w:rsid w:val="00AB4614"/>
    <w:rsid w:val="00AB786D"/>
    <w:rsid w:val="00AC0124"/>
    <w:rsid w:val="00AC057A"/>
    <w:rsid w:val="00AC2591"/>
    <w:rsid w:val="00AC2ED9"/>
    <w:rsid w:val="00AC53C0"/>
    <w:rsid w:val="00AC617B"/>
    <w:rsid w:val="00AC78A7"/>
    <w:rsid w:val="00AD15D0"/>
    <w:rsid w:val="00AD2F97"/>
    <w:rsid w:val="00AD341E"/>
    <w:rsid w:val="00AD3D5D"/>
    <w:rsid w:val="00AD553B"/>
    <w:rsid w:val="00AD5A54"/>
    <w:rsid w:val="00AD6169"/>
    <w:rsid w:val="00AD6A1F"/>
    <w:rsid w:val="00AD7721"/>
    <w:rsid w:val="00AD7B70"/>
    <w:rsid w:val="00AE0D42"/>
    <w:rsid w:val="00AE2107"/>
    <w:rsid w:val="00AE4A88"/>
    <w:rsid w:val="00AE4D77"/>
    <w:rsid w:val="00AE5AC1"/>
    <w:rsid w:val="00AF1915"/>
    <w:rsid w:val="00AF2726"/>
    <w:rsid w:val="00AF2F89"/>
    <w:rsid w:val="00AF463A"/>
    <w:rsid w:val="00AF51DD"/>
    <w:rsid w:val="00AF6D5D"/>
    <w:rsid w:val="00B00571"/>
    <w:rsid w:val="00B024A7"/>
    <w:rsid w:val="00B03047"/>
    <w:rsid w:val="00B03238"/>
    <w:rsid w:val="00B03310"/>
    <w:rsid w:val="00B036BC"/>
    <w:rsid w:val="00B06EF4"/>
    <w:rsid w:val="00B07B06"/>
    <w:rsid w:val="00B12ACB"/>
    <w:rsid w:val="00B12FFA"/>
    <w:rsid w:val="00B14550"/>
    <w:rsid w:val="00B1681B"/>
    <w:rsid w:val="00B16F21"/>
    <w:rsid w:val="00B17989"/>
    <w:rsid w:val="00B17F2F"/>
    <w:rsid w:val="00B25722"/>
    <w:rsid w:val="00B27440"/>
    <w:rsid w:val="00B304C7"/>
    <w:rsid w:val="00B31739"/>
    <w:rsid w:val="00B365AF"/>
    <w:rsid w:val="00B36837"/>
    <w:rsid w:val="00B37C0F"/>
    <w:rsid w:val="00B40BE3"/>
    <w:rsid w:val="00B41281"/>
    <w:rsid w:val="00B41B4F"/>
    <w:rsid w:val="00B42D2A"/>
    <w:rsid w:val="00B436BE"/>
    <w:rsid w:val="00B43A88"/>
    <w:rsid w:val="00B454CF"/>
    <w:rsid w:val="00B47336"/>
    <w:rsid w:val="00B51224"/>
    <w:rsid w:val="00B54B5D"/>
    <w:rsid w:val="00B566B3"/>
    <w:rsid w:val="00B60205"/>
    <w:rsid w:val="00B62287"/>
    <w:rsid w:val="00B62404"/>
    <w:rsid w:val="00B6320E"/>
    <w:rsid w:val="00B66B3C"/>
    <w:rsid w:val="00B67288"/>
    <w:rsid w:val="00B67FDD"/>
    <w:rsid w:val="00B70295"/>
    <w:rsid w:val="00B704A6"/>
    <w:rsid w:val="00B70FB8"/>
    <w:rsid w:val="00B717B7"/>
    <w:rsid w:val="00B71C7F"/>
    <w:rsid w:val="00B72184"/>
    <w:rsid w:val="00B72EEF"/>
    <w:rsid w:val="00B730D3"/>
    <w:rsid w:val="00B73542"/>
    <w:rsid w:val="00B73CC1"/>
    <w:rsid w:val="00B770E1"/>
    <w:rsid w:val="00B776C0"/>
    <w:rsid w:val="00B81547"/>
    <w:rsid w:val="00B82CBC"/>
    <w:rsid w:val="00B84CA5"/>
    <w:rsid w:val="00B8541D"/>
    <w:rsid w:val="00B86D66"/>
    <w:rsid w:val="00B90029"/>
    <w:rsid w:val="00B9105B"/>
    <w:rsid w:val="00B91222"/>
    <w:rsid w:val="00B928FD"/>
    <w:rsid w:val="00B92DB0"/>
    <w:rsid w:val="00B93BD7"/>
    <w:rsid w:val="00B95AB5"/>
    <w:rsid w:val="00B95E77"/>
    <w:rsid w:val="00B967A4"/>
    <w:rsid w:val="00B96BE7"/>
    <w:rsid w:val="00B978B7"/>
    <w:rsid w:val="00B97D5A"/>
    <w:rsid w:val="00BA14F3"/>
    <w:rsid w:val="00BA2E03"/>
    <w:rsid w:val="00BA311C"/>
    <w:rsid w:val="00BA3674"/>
    <w:rsid w:val="00BA5327"/>
    <w:rsid w:val="00BA5363"/>
    <w:rsid w:val="00BA63D2"/>
    <w:rsid w:val="00BB01F1"/>
    <w:rsid w:val="00BB1980"/>
    <w:rsid w:val="00BB1F33"/>
    <w:rsid w:val="00BB2B7A"/>
    <w:rsid w:val="00BB7092"/>
    <w:rsid w:val="00BB77E4"/>
    <w:rsid w:val="00BC3C32"/>
    <w:rsid w:val="00BC4958"/>
    <w:rsid w:val="00BC62B4"/>
    <w:rsid w:val="00BC7323"/>
    <w:rsid w:val="00BD0C9C"/>
    <w:rsid w:val="00BD3529"/>
    <w:rsid w:val="00BD51BB"/>
    <w:rsid w:val="00BD63C5"/>
    <w:rsid w:val="00BD704E"/>
    <w:rsid w:val="00BD7819"/>
    <w:rsid w:val="00BE0B16"/>
    <w:rsid w:val="00BE1160"/>
    <w:rsid w:val="00BE1C64"/>
    <w:rsid w:val="00BE4761"/>
    <w:rsid w:val="00BE518A"/>
    <w:rsid w:val="00BE687C"/>
    <w:rsid w:val="00BE70E0"/>
    <w:rsid w:val="00BE7519"/>
    <w:rsid w:val="00BF1AD9"/>
    <w:rsid w:val="00BF2262"/>
    <w:rsid w:val="00BF3B7C"/>
    <w:rsid w:val="00BF3B82"/>
    <w:rsid w:val="00BF6545"/>
    <w:rsid w:val="00BF6E64"/>
    <w:rsid w:val="00BF7079"/>
    <w:rsid w:val="00BF7526"/>
    <w:rsid w:val="00C01892"/>
    <w:rsid w:val="00C02310"/>
    <w:rsid w:val="00C0460D"/>
    <w:rsid w:val="00C04DEB"/>
    <w:rsid w:val="00C05C24"/>
    <w:rsid w:val="00C05C5B"/>
    <w:rsid w:val="00C07DF0"/>
    <w:rsid w:val="00C100C3"/>
    <w:rsid w:val="00C11342"/>
    <w:rsid w:val="00C12290"/>
    <w:rsid w:val="00C12C29"/>
    <w:rsid w:val="00C14158"/>
    <w:rsid w:val="00C14B1C"/>
    <w:rsid w:val="00C14ED6"/>
    <w:rsid w:val="00C15313"/>
    <w:rsid w:val="00C15641"/>
    <w:rsid w:val="00C21D52"/>
    <w:rsid w:val="00C222C5"/>
    <w:rsid w:val="00C23619"/>
    <w:rsid w:val="00C23FA5"/>
    <w:rsid w:val="00C2474E"/>
    <w:rsid w:val="00C24E30"/>
    <w:rsid w:val="00C24E53"/>
    <w:rsid w:val="00C25B0A"/>
    <w:rsid w:val="00C26CD3"/>
    <w:rsid w:val="00C302AC"/>
    <w:rsid w:val="00C30D65"/>
    <w:rsid w:val="00C319FC"/>
    <w:rsid w:val="00C35F95"/>
    <w:rsid w:val="00C36580"/>
    <w:rsid w:val="00C37145"/>
    <w:rsid w:val="00C418F4"/>
    <w:rsid w:val="00C43D50"/>
    <w:rsid w:val="00C44606"/>
    <w:rsid w:val="00C447A8"/>
    <w:rsid w:val="00C44947"/>
    <w:rsid w:val="00C44F3F"/>
    <w:rsid w:val="00C44F6B"/>
    <w:rsid w:val="00C4538A"/>
    <w:rsid w:val="00C454E5"/>
    <w:rsid w:val="00C4592B"/>
    <w:rsid w:val="00C45940"/>
    <w:rsid w:val="00C515A6"/>
    <w:rsid w:val="00C52DB0"/>
    <w:rsid w:val="00C535AD"/>
    <w:rsid w:val="00C60991"/>
    <w:rsid w:val="00C62F3A"/>
    <w:rsid w:val="00C62F54"/>
    <w:rsid w:val="00C63604"/>
    <w:rsid w:val="00C64117"/>
    <w:rsid w:val="00C66A9F"/>
    <w:rsid w:val="00C70517"/>
    <w:rsid w:val="00C72C5C"/>
    <w:rsid w:val="00C767F0"/>
    <w:rsid w:val="00C773B2"/>
    <w:rsid w:val="00C77FC5"/>
    <w:rsid w:val="00C808CB"/>
    <w:rsid w:val="00C80B83"/>
    <w:rsid w:val="00C81EAE"/>
    <w:rsid w:val="00C821DF"/>
    <w:rsid w:val="00C83916"/>
    <w:rsid w:val="00C83F2B"/>
    <w:rsid w:val="00C84B6F"/>
    <w:rsid w:val="00C84F49"/>
    <w:rsid w:val="00C856F7"/>
    <w:rsid w:val="00C86CC6"/>
    <w:rsid w:val="00C87704"/>
    <w:rsid w:val="00C92584"/>
    <w:rsid w:val="00C948E4"/>
    <w:rsid w:val="00CA020C"/>
    <w:rsid w:val="00CA096E"/>
    <w:rsid w:val="00CA0DE6"/>
    <w:rsid w:val="00CA2173"/>
    <w:rsid w:val="00CA3378"/>
    <w:rsid w:val="00CA4F08"/>
    <w:rsid w:val="00CA5584"/>
    <w:rsid w:val="00CA6FB0"/>
    <w:rsid w:val="00CB1AE7"/>
    <w:rsid w:val="00CB1E88"/>
    <w:rsid w:val="00CB203E"/>
    <w:rsid w:val="00CB22E6"/>
    <w:rsid w:val="00CB2B9E"/>
    <w:rsid w:val="00CB30B5"/>
    <w:rsid w:val="00CB4F67"/>
    <w:rsid w:val="00CC0C55"/>
    <w:rsid w:val="00CC1567"/>
    <w:rsid w:val="00CC17F0"/>
    <w:rsid w:val="00CC1AF6"/>
    <w:rsid w:val="00CC1DA3"/>
    <w:rsid w:val="00CC436A"/>
    <w:rsid w:val="00CC5129"/>
    <w:rsid w:val="00CC5976"/>
    <w:rsid w:val="00CC6F87"/>
    <w:rsid w:val="00CC6F9D"/>
    <w:rsid w:val="00CC7149"/>
    <w:rsid w:val="00CC7DA7"/>
    <w:rsid w:val="00CD0670"/>
    <w:rsid w:val="00CD0CF3"/>
    <w:rsid w:val="00CD1A93"/>
    <w:rsid w:val="00CD22FF"/>
    <w:rsid w:val="00CD39DB"/>
    <w:rsid w:val="00CD6D7F"/>
    <w:rsid w:val="00CD78CA"/>
    <w:rsid w:val="00CE0D51"/>
    <w:rsid w:val="00CE3185"/>
    <w:rsid w:val="00CE3216"/>
    <w:rsid w:val="00CE50C1"/>
    <w:rsid w:val="00CE5637"/>
    <w:rsid w:val="00CE5BC2"/>
    <w:rsid w:val="00CF1945"/>
    <w:rsid w:val="00CF4417"/>
    <w:rsid w:val="00CF5179"/>
    <w:rsid w:val="00CF661C"/>
    <w:rsid w:val="00CF67D6"/>
    <w:rsid w:val="00CF7083"/>
    <w:rsid w:val="00CF759C"/>
    <w:rsid w:val="00CF7B59"/>
    <w:rsid w:val="00D006DB"/>
    <w:rsid w:val="00D00F9E"/>
    <w:rsid w:val="00D01138"/>
    <w:rsid w:val="00D03CA5"/>
    <w:rsid w:val="00D04526"/>
    <w:rsid w:val="00D1093F"/>
    <w:rsid w:val="00D10F17"/>
    <w:rsid w:val="00D12B5D"/>
    <w:rsid w:val="00D1307A"/>
    <w:rsid w:val="00D1410B"/>
    <w:rsid w:val="00D14B0B"/>
    <w:rsid w:val="00D1770B"/>
    <w:rsid w:val="00D17C85"/>
    <w:rsid w:val="00D2222A"/>
    <w:rsid w:val="00D247E4"/>
    <w:rsid w:val="00D24EF0"/>
    <w:rsid w:val="00D24F14"/>
    <w:rsid w:val="00D27FEA"/>
    <w:rsid w:val="00D31D96"/>
    <w:rsid w:val="00D33831"/>
    <w:rsid w:val="00D345AB"/>
    <w:rsid w:val="00D34C4A"/>
    <w:rsid w:val="00D371D9"/>
    <w:rsid w:val="00D372AC"/>
    <w:rsid w:val="00D40C83"/>
    <w:rsid w:val="00D410B6"/>
    <w:rsid w:val="00D43093"/>
    <w:rsid w:val="00D43926"/>
    <w:rsid w:val="00D43A39"/>
    <w:rsid w:val="00D474A1"/>
    <w:rsid w:val="00D51435"/>
    <w:rsid w:val="00D52D0A"/>
    <w:rsid w:val="00D538B7"/>
    <w:rsid w:val="00D54F3A"/>
    <w:rsid w:val="00D57FBD"/>
    <w:rsid w:val="00D604DB"/>
    <w:rsid w:val="00D6216A"/>
    <w:rsid w:val="00D63EE7"/>
    <w:rsid w:val="00D645FF"/>
    <w:rsid w:val="00D64F0E"/>
    <w:rsid w:val="00D652D3"/>
    <w:rsid w:val="00D65E48"/>
    <w:rsid w:val="00D66750"/>
    <w:rsid w:val="00D67AA8"/>
    <w:rsid w:val="00D702DF"/>
    <w:rsid w:val="00D718E9"/>
    <w:rsid w:val="00D71D58"/>
    <w:rsid w:val="00D73271"/>
    <w:rsid w:val="00D7336D"/>
    <w:rsid w:val="00D75C75"/>
    <w:rsid w:val="00D75F93"/>
    <w:rsid w:val="00D772D9"/>
    <w:rsid w:val="00D814B7"/>
    <w:rsid w:val="00D815F3"/>
    <w:rsid w:val="00D841CE"/>
    <w:rsid w:val="00D855DC"/>
    <w:rsid w:val="00D85781"/>
    <w:rsid w:val="00D8653A"/>
    <w:rsid w:val="00D86B7E"/>
    <w:rsid w:val="00D87901"/>
    <w:rsid w:val="00D911A2"/>
    <w:rsid w:val="00D915E8"/>
    <w:rsid w:val="00D91DD0"/>
    <w:rsid w:val="00D93787"/>
    <w:rsid w:val="00D96BEF"/>
    <w:rsid w:val="00D973D8"/>
    <w:rsid w:val="00D979DA"/>
    <w:rsid w:val="00D97F72"/>
    <w:rsid w:val="00DA166C"/>
    <w:rsid w:val="00DA4C76"/>
    <w:rsid w:val="00DA57EF"/>
    <w:rsid w:val="00DA6E25"/>
    <w:rsid w:val="00DB145D"/>
    <w:rsid w:val="00DB1C85"/>
    <w:rsid w:val="00DB2ACA"/>
    <w:rsid w:val="00DB3798"/>
    <w:rsid w:val="00DB3CF8"/>
    <w:rsid w:val="00DB763F"/>
    <w:rsid w:val="00DC1016"/>
    <w:rsid w:val="00DC12E6"/>
    <w:rsid w:val="00DC42A9"/>
    <w:rsid w:val="00DC504C"/>
    <w:rsid w:val="00DC5BC9"/>
    <w:rsid w:val="00DC69CF"/>
    <w:rsid w:val="00DC6F47"/>
    <w:rsid w:val="00DD120C"/>
    <w:rsid w:val="00DD2AC9"/>
    <w:rsid w:val="00DD2D65"/>
    <w:rsid w:val="00DD6C22"/>
    <w:rsid w:val="00DD7DB9"/>
    <w:rsid w:val="00DE420D"/>
    <w:rsid w:val="00DE4E78"/>
    <w:rsid w:val="00DE77B7"/>
    <w:rsid w:val="00DF042C"/>
    <w:rsid w:val="00DF1016"/>
    <w:rsid w:val="00DF12C6"/>
    <w:rsid w:val="00DF1F6C"/>
    <w:rsid w:val="00DF359E"/>
    <w:rsid w:val="00DF36A0"/>
    <w:rsid w:val="00DF422E"/>
    <w:rsid w:val="00DF7015"/>
    <w:rsid w:val="00E006BF"/>
    <w:rsid w:val="00E01D21"/>
    <w:rsid w:val="00E02244"/>
    <w:rsid w:val="00E03B72"/>
    <w:rsid w:val="00E0658F"/>
    <w:rsid w:val="00E0751E"/>
    <w:rsid w:val="00E1051C"/>
    <w:rsid w:val="00E10D71"/>
    <w:rsid w:val="00E12E8C"/>
    <w:rsid w:val="00E1311F"/>
    <w:rsid w:val="00E143B3"/>
    <w:rsid w:val="00E17D24"/>
    <w:rsid w:val="00E20729"/>
    <w:rsid w:val="00E21B6B"/>
    <w:rsid w:val="00E2217F"/>
    <w:rsid w:val="00E22D6C"/>
    <w:rsid w:val="00E25727"/>
    <w:rsid w:val="00E2599D"/>
    <w:rsid w:val="00E26C88"/>
    <w:rsid w:val="00E27C26"/>
    <w:rsid w:val="00E27D58"/>
    <w:rsid w:val="00E3002C"/>
    <w:rsid w:val="00E3104C"/>
    <w:rsid w:val="00E314B1"/>
    <w:rsid w:val="00E32976"/>
    <w:rsid w:val="00E33600"/>
    <w:rsid w:val="00E35ECE"/>
    <w:rsid w:val="00E36A68"/>
    <w:rsid w:val="00E377B1"/>
    <w:rsid w:val="00E46D8D"/>
    <w:rsid w:val="00E47025"/>
    <w:rsid w:val="00E473E0"/>
    <w:rsid w:val="00E477C9"/>
    <w:rsid w:val="00E506FD"/>
    <w:rsid w:val="00E514F1"/>
    <w:rsid w:val="00E54F72"/>
    <w:rsid w:val="00E60EF2"/>
    <w:rsid w:val="00E623FF"/>
    <w:rsid w:val="00E63008"/>
    <w:rsid w:val="00E6401A"/>
    <w:rsid w:val="00E64326"/>
    <w:rsid w:val="00E65AC9"/>
    <w:rsid w:val="00E65FB0"/>
    <w:rsid w:val="00E6738F"/>
    <w:rsid w:val="00E67ACF"/>
    <w:rsid w:val="00E7077B"/>
    <w:rsid w:val="00E7475F"/>
    <w:rsid w:val="00E749A5"/>
    <w:rsid w:val="00E76570"/>
    <w:rsid w:val="00E77096"/>
    <w:rsid w:val="00E77EBA"/>
    <w:rsid w:val="00E82A7E"/>
    <w:rsid w:val="00E82DBC"/>
    <w:rsid w:val="00E8514E"/>
    <w:rsid w:val="00E8675B"/>
    <w:rsid w:val="00E86EB3"/>
    <w:rsid w:val="00E90813"/>
    <w:rsid w:val="00E908C9"/>
    <w:rsid w:val="00E91827"/>
    <w:rsid w:val="00E972F2"/>
    <w:rsid w:val="00E97E51"/>
    <w:rsid w:val="00EA02F4"/>
    <w:rsid w:val="00EA045A"/>
    <w:rsid w:val="00EA0748"/>
    <w:rsid w:val="00EA0E15"/>
    <w:rsid w:val="00EA15F8"/>
    <w:rsid w:val="00EA1B2E"/>
    <w:rsid w:val="00EA2AA2"/>
    <w:rsid w:val="00EA3C9F"/>
    <w:rsid w:val="00EA55BB"/>
    <w:rsid w:val="00EA6895"/>
    <w:rsid w:val="00EA7AF6"/>
    <w:rsid w:val="00EB2B7E"/>
    <w:rsid w:val="00EB45AD"/>
    <w:rsid w:val="00EB4BCE"/>
    <w:rsid w:val="00EB502B"/>
    <w:rsid w:val="00EB58B2"/>
    <w:rsid w:val="00EB5B9C"/>
    <w:rsid w:val="00EB6869"/>
    <w:rsid w:val="00EB6E48"/>
    <w:rsid w:val="00EB754B"/>
    <w:rsid w:val="00EB779C"/>
    <w:rsid w:val="00EC00BF"/>
    <w:rsid w:val="00EC1472"/>
    <w:rsid w:val="00EC196A"/>
    <w:rsid w:val="00EC1AAE"/>
    <w:rsid w:val="00EC2890"/>
    <w:rsid w:val="00EC3FC3"/>
    <w:rsid w:val="00EC5265"/>
    <w:rsid w:val="00EC627D"/>
    <w:rsid w:val="00EC638D"/>
    <w:rsid w:val="00ED0C07"/>
    <w:rsid w:val="00ED0CCE"/>
    <w:rsid w:val="00ED115C"/>
    <w:rsid w:val="00ED1BB5"/>
    <w:rsid w:val="00ED2752"/>
    <w:rsid w:val="00ED74CE"/>
    <w:rsid w:val="00ED75A8"/>
    <w:rsid w:val="00ED7660"/>
    <w:rsid w:val="00EE0625"/>
    <w:rsid w:val="00EE1B7E"/>
    <w:rsid w:val="00EE277F"/>
    <w:rsid w:val="00EE4F0B"/>
    <w:rsid w:val="00EE5B2A"/>
    <w:rsid w:val="00EE7B3C"/>
    <w:rsid w:val="00EF3BD7"/>
    <w:rsid w:val="00EF3F4D"/>
    <w:rsid w:val="00EF4441"/>
    <w:rsid w:val="00EF549F"/>
    <w:rsid w:val="00EF6096"/>
    <w:rsid w:val="00EF79F2"/>
    <w:rsid w:val="00F03948"/>
    <w:rsid w:val="00F03FBB"/>
    <w:rsid w:val="00F05EAD"/>
    <w:rsid w:val="00F06350"/>
    <w:rsid w:val="00F064F0"/>
    <w:rsid w:val="00F07DC1"/>
    <w:rsid w:val="00F11003"/>
    <w:rsid w:val="00F12D80"/>
    <w:rsid w:val="00F12DD8"/>
    <w:rsid w:val="00F13C96"/>
    <w:rsid w:val="00F143B2"/>
    <w:rsid w:val="00F154D0"/>
    <w:rsid w:val="00F170C2"/>
    <w:rsid w:val="00F17A70"/>
    <w:rsid w:val="00F20A00"/>
    <w:rsid w:val="00F20AF8"/>
    <w:rsid w:val="00F217E5"/>
    <w:rsid w:val="00F21ED3"/>
    <w:rsid w:val="00F221B5"/>
    <w:rsid w:val="00F23B5A"/>
    <w:rsid w:val="00F2724D"/>
    <w:rsid w:val="00F27F04"/>
    <w:rsid w:val="00F300AB"/>
    <w:rsid w:val="00F3277A"/>
    <w:rsid w:val="00F32C8D"/>
    <w:rsid w:val="00F332FB"/>
    <w:rsid w:val="00F33944"/>
    <w:rsid w:val="00F34A8F"/>
    <w:rsid w:val="00F36A44"/>
    <w:rsid w:val="00F36DA5"/>
    <w:rsid w:val="00F406D0"/>
    <w:rsid w:val="00F40DEC"/>
    <w:rsid w:val="00F42473"/>
    <w:rsid w:val="00F42661"/>
    <w:rsid w:val="00F42DBD"/>
    <w:rsid w:val="00F45D07"/>
    <w:rsid w:val="00F51061"/>
    <w:rsid w:val="00F51C26"/>
    <w:rsid w:val="00F53697"/>
    <w:rsid w:val="00F53DB8"/>
    <w:rsid w:val="00F54AC6"/>
    <w:rsid w:val="00F54EB1"/>
    <w:rsid w:val="00F60B32"/>
    <w:rsid w:val="00F62E41"/>
    <w:rsid w:val="00F64699"/>
    <w:rsid w:val="00F6548E"/>
    <w:rsid w:val="00F656F4"/>
    <w:rsid w:val="00F66885"/>
    <w:rsid w:val="00F709B8"/>
    <w:rsid w:val="00F72BD4"/>
    <w:rsid w:val="00F73442"/>
    <w:rsid w:val="00F73450"/>
    <w:rsid w:val="00F74926"/>
    <w:rsid w:val="00F77C9C"/>
    <w:rsid w:val="00F801B1"/>
    <w:rsid w:val="00F81CEB"/>
    <w:rsid w:val="00F820E7"/>
    <w:rsid w:val="00F84A2E"/>
    <w:rsid w:val="00F86554"/>
    <w:rsid w:val="00F90AA2"/>
    <w:rsid w:val="00F91748"/>
    <w:rsid w:val="00F93E51"/>
    <w:rsid w:val="00F94320"/>
    <w:rsid w:val="00F968F3"/>
    <w:rsid w:val="00FA010F"/>
    <w:rsid w:val="00FA13A8"/>
    <w:rsid w:val="00FA49E0"/>
    <w:rsid w:val="00FA4FD1"/>
    <w:rsid w:val="00FA5153"/>
    <w:rsid w:val="00FA6352"/>
    <w:rsid w:val="00FA6379"/>
    <w:rsid w:val="00FA7164"/>
    <w:rsid w:val="00FB2BAA"/>
    <w:rsid w:val="00FB2C90"/>
    <w:rsid w:val="00FB310C"/>
    <w:rsid w:val="00FB5FA7"/>
    <w:rsid w:val="00FC1C43"/>
    <w:rsid w:val="00FC295B"/>
    <w:rsid w:val="00FC34DC"/>
    <w:rsid w:val="00FC3FE2"/>
    <w:rsid w:val="00FC55A4"/>
    <w:rsid w:val="00FC5B69"/>
    <w:rsid w:val="00FD0766"/>
    <w:rsid w:val="00FD0842"/>
    <w:rsid w:val="00FD1B40"/>
    <w:rsid w:val="00FD1FE9"/>
    <w:rsid w:val="00FD3AE8"/>
    <w:rsid w:val="00FD3E97"/>
    <w:rsid w:val="00FD4321"/>
    <w:rsid w:val="00FD5213"/>
    <w:rsid w:val="00FD57DD"/>
    <w:rsid w:val="00FE04BA"/>
    <w:rsid w:val="00FE1E60"/>
    <w:rsid w:val="00FE36C5"/>
    <w:rsid w:val="00FE4787"/>
    <w:rsid w:val="00FE5833"/>
    <w:rsid w:val="00FE591F"/>
    <w:rsid w:val="00FE7786"/>
    <w:rsid w:val="00FE7AF7"/>
    <w:rsid w:val="00FE7BE3"/>
    <w:rsid w:val="00FE7D26"/>
    <w:rsid w:val="00FF0F2C"/>
    <w:rsid w:val="00FF194D"/>
    <w:rsid w:val="00FF59F7"/>
    <w:rsid w:val="00FF68F3"/>
    <w:rsid w:val="00FF7582"/>
    <w:rsid w:val="00FF7D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6171FB1-4CB7-46DC-B228-CA19166F9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972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72F2"/>
    <w:rPr>
      <w:rFonts w:ascii="Tahoma" w:hAnsi="Tahoma" w:cs="Tahoma"/>
      <w:sz w:val="16"/>
      <w:szCs w:val="16"/>
    </w:rPr>
  </w:style>
  <w:style w:type="character" w:styleId="Hyperlink">
    <w:name w:val="Hyperlink"/>
    <w:basedOn w:val="DefaultParagraphFont"/>
    <w:uiPriority w:val="99"/>
    <w:unhideWhenUsed/>
    <w:rsid w:val="00AD7721"/>
    <w:rPr>
      <w:color w:val="0000FF" w:themeColor="hyperlink"/>
      <w:u w:val="single"/>
    </w:rPr>
  </w:style>
  <w:style w:type="character" w:styleId="FollowedHyperlink">
    <w:name w:val="FollowedHyperlink"/>
    <w:basedOn w:val="DefaultParagraphFont"/>
    <w:uiPriority w:val="99"/>
    <w:semiHidden/>
    <w:unhideWhenUsed/>
    <w:rsid w:val="00AD7721"/>
    <w:rPr>
      <w:color w:val="800080" w:themeColor="followedHyperlink"/>
      <w:u w:val="single"/>
    </w:rPr>
  </w:style>
  <w:style w:type="paragraph" w:styleId="Header">
    <w:name w:val="header"/>
    <w:basedOn w:val="Normal"/>
    <w:link w:val="HeaderChar"/>
    <w:uiPriority w:val="99"/>
    <w:unhideWhenUsed/>
    <w:rsid w:val="00AD77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7721"/>
  </w:style>
  <w:style w:type="paragraph" w:styleId="Footer">
    <w:name w:val="footer"/>
    <w:basedOn w:val="Normal"/>
    <w:link w:val="FooterChar"/>
    <w:uiPriority w:val="99"/>
    <w:unhideWhenUsed/>
    <w:rsid w:val="00AD77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77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909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4.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mdch.state.mi.us/osr/natality/Tab4.3.asp" TargetMode="External"/><Relationship Id="rId12" Type="http://schemas.openxmlformats.org/officeDocument/2006/relationships/chart" Target="charts/chart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hart" Target="charts/chart5.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hart" Target="charts/chart2.xml"/><Relationship Id="rId5" Type="http://schemas.openxmlformats.org/officeDocument/2006/relationships/footnotes" Target="footnotes.xml"/><Relationship Id="rId15" Type="http://schemas.openxmlformats.org/officeDocument/2006/relationships/image" Target="media/image3.emf"/><Relationship Id="rId10" Type="http://schemas.openxmlformats.org/officeDocument/2006/relationships/oleObject" Target="embeddings/oleObject1.bin"/><Relationship Id="rId4" Type="http://schemas.openxmlformats.org/officeDocument/2006/relationships/webSettings" Target="webSettings.xml"/><Relationship Id="rId9" Type="http://schemas.openxmlformats.org/officeDocument/2006/relationships/image" Target="media/image1.wmf"/><Relationship Id="rId14" Type="http://schemas.openxmlformats.org/officeDocument/2006/relationships/image" Target="media/image2.emf"/></Relationships>
</file>

<file path=word/charts/_rels/chart1.xml.rels><?xml version="1.0" encoding="UTF-8" standalone="yes"?>
<Relationships xmlns="http://schemas.openxmlformats.org/package/2006/relationships"><Relationship Id="rId1" Type="http://schemas.openxmlformats.org/officeDocument/2006/relationships/oleObject" Target="file:///C:\Users\fordena1\Documents\project%20TS\NSF%20Project\Maternal%20Age%20Data%20&amp;%20Analysis.xlsm"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fordena1\Documents\project%20TS\NSF%20Project\Maternal%20Age%20Data%20&amp;%20Analysis.xlsm"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fordena1\Documents\project%20TS\NSF%20Project\Maternal%20Age%20Data%20&amp;%20Analysis.xlsm"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fordena1\Documents\project%20TS\NSF%20Project\Maternal%20Age%20Data%20&amp;%20Analysis.xlsm"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fordena1\Documents\project%20TS\NSF%20Project\Maternal%20Age%20Data%20&amp;%20Analysis.xlsm"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Average Maternal Age in Michigan</a:t>
            </a:r>
          </a:p>
        </c:rich>
      </c:tx>
      <c:overlay val="0"/>
    </c:title>
    <c:autoTitleDeleted val="0"/>
    <c:plotArea>
      <c:layout/>
      <c:lineChart>
        <c:grouping val="standard"/>
        <c:varyColors val="0"/>
        <c:ser>
          <c:idx val="0"/>
          <c:order val="0"/>
          <c:tx>
            <c:strRef>
              <c:f>'Average Ages for 1971 &amp; beyond'!$D$4</c:f>
              <c:strCache>
                <c:ptCount val="1"/>
                <c:pt idx="0">
                  <c:v>Avg Age</c:v>
                </c:pt>
              </c:strCache>
            </c:strRef>
          </c:tx>
          <c:marker>
            <c:symbol val="dot"/>
            <c:size val="2"/>
          </c:marker>
          <c:cat>
            <c:strRef>
              <c:f>'Average Ages for 1971 &amp; beyond'!$C$4:$C$49</c:f>
              <c:strCache>
                <c:ptCount val="45"/>
                <c:pt idx="0">
                  <c:v>Year</c:v>
                </c:pt>
                <c:pt idx="1">
                  <c:v>1971</c:v>
                </c:pt>
                <c:pt idx="2">
                  <c:v>1972</c:v>
                </c:pt>
                <c:pt idx="3">
                  <c:v>1973</c:v>
                </c:pt>
                <c:pt idx="4">
                  <c:v>1974</c:v>
                </c:pt>
                <c:pt idx="5">
                  <c:v>1975</c:v>
                </c:pt>
                <c:pt idx="6">
                  <c:v>1976</c:v>
                </c:pt>
                <c:pt idx="7">
                  <c:v>1977</c:v>
                </c:pt>
                <c:pt idx="8">
                  <c:v>1978</c:v>
                </c:pt>
                <c:pt idx="9">
                  <c:v>1979</c:v>
                </c:pt>
                <c:pt idx="10">
                  <c:v>1980</c:v>
                </c:pt>
                <c:pt idx="11">
                  <c:v>1981</c:v>
                </c:pt>
                <c:pt idx="12">
                  <c:v>1982</c:v>
                </c:pt>
                <c:pt idx="13">
                  <c:v>1983</c:v>
                </c:pt>
                <c:pt idx="14">
                  <c:v>1984</c:v>
                </c:pt>
                <c:pt idx="15">
                  <c:v>1985</c:v>
                </c:pt>
                <c:pt idx="16">
                  <c:v>1986</c:v>
                </c:pt>
                <c:pt idx="17">
                  <c:v>1987</c:v>
                </c:pt>
                <c:pt idx="18">
                  <c:v>1988</c:v>
                </c:pt>
                <c:pt idx="19">
                  <c:v>1989</c:v>
                </c:pt>
                <c:pt idx="20">
                  <c:v>1990</c:v>
                </c:pt>
                <c:pt idx="21">
                  <c:v>1991</c:v>
                </c:pt>
                <c:pt idx="22">
                  <c:v>1992</c:v>
                </c:pt>
                <c:pt idx="23">
                  <c:v>1993</c:v>
                </c:pt>
                <c:pt idx="24">
                  <c:v>1994</c:v>
                </c:pt>
                <c:pt idx="25">
                  <c:v>1995</c:v>
                </c:pt>
                <c:pt idx="26">
                  <c:v>1996</c:v>
                </c:pt>
                <c:pt idx="27">
                  <c:v>1997</c:v>
                </c:pt>
                <c:pt idx="28">
                  <c:v>1998</c:v>
                </c:pt>
                <c:pt idx="29">
                  <c:v>1999</c:v>
                </c:pt>
                <c:pt idx="30">
                  <c:v>2000</c:v>
                </c:pt>
                <c:pt idx="31">
                  <c:v>2001</c:v>
                </c:pt>
                <c:pt idx="32">
                  <c:v>2002</c:v>
                </c:pt>
                <c:pt idx="33">
                  <c:v>2003</c:v>
                </c:pt>
                <c:pt idx="34">
                  <c:v>2004</c:v>
                </c:pt>
                <c:pt idx="35">
                  <c:v>2005</c:v>
                </c:pt>
                <c:pt idx="36">
                  <c:v>2006</c:v>
                </c:pt>
                <c:pt idx="37">
                  <c:v>2007</c:v>
                </c:pt>
                <c:pt idx="38">
                  <c:v>2008</c:v>
                </c:pt>
                <c:pt idx="39">
                  <c:v>2009</c:v>
                </c:pt>
                <c:pt idx="40">
                  <c:v>2010</c:v>
                </c:pt>
                <c:pt idx="41">
                  <c:v>2011</c:v>
                </c:pt>
                <c:pt idx="42">
                  <c:v>2012</c:v>
                </c:pt>
                <c:pt idx="43">
                  <c:v>2013</c:v>
                </c:pt>
                <c:pt idx="44">
                  <c:v>2014</c:v>
                </c:pt>
              </c:strCache>
            </c:strRef>
          </c:cat>
          <c:val>
            <c:numRef>
              <c:f>'Average Ages for 1971 &amp; beyond'!$D$5:$D$49</c:f>
              <c:numCache>
                <c:formatCode>_(* #,##0.0_);_(* \(#,##0.0\);_(* "-"??_);_(@_)</c:formatCode>
                <c:ptCount val="45"/>
                <c:pt idx="0">
                  <c:v>24.5</c:v>
                </c:pt>
                <c:pt idx="1">
                  <c:v>24.3</c:v>
                </c:pt>
                <c:pt idx="2">
                  <c:v>24.2</c:v>
                </c:pt>
                <c:pt idx="3">
                  <c:v>24.2</c:v>
                </c:pt>
                <c:pt idx="4">
                  <c:v>24.3</c:v>
                </c:pt>
                <c:pt idx="5">
                  <c:v>24.4</c:v>
                </c:pt>
                <c:pt idx="6">
                  <c:v>24.5</c:v>
                </c:pt>
                <c:pt idx="7">
                  <c:v>24.7</c:v>
                </c:pt>
                <c:pt idx="8">
                  <c:v>24.8</c:v>
                </c:pt>
                <c:pt idx="9">
                  <c:v>25</c:v>
                </c:pt>
                <c:pt idx="10">
                  <c:v>25.2</c:v>
                </c:pt>
                <c:pt idx="11">
                  <c:v>25.3</c:v>
                </c:pt>
                <c:pt idx="12">
                  <c:v>25.5</c:v>
                </c:pt>
                <c:pt idx="13">
                  <c:v>25.7</c:v>
                </c:pt>
                <c:pt idx="14">
                  <c:v>25.8</c:v>
                </c:pt>
                <c:pt idx="15">
                  <c:v>25.9</c:v>
                </c:pt>
                <c:pt idx="16">
                  <c:v>26</c:v>
                </c:pt>
                <c:pt idx="17">
                  <c:v>26.2</c:v>
                </c:pt>
                <c:pt idx="18">
                  <c:v>26.1</c:v>
                </c:pt>
                <c:pt idx="19">
                  <c:v>26.2</c:v>
                </c:pt>
                <c:pt idx="20">
                  <c:v>26.3</c:v>
                </c:pt>
                <c:pt idx="21">
                  <c:v>26.4</c:v>
                </c:pt>
                <c:pt idx="22">
                  <c:v>26.6</c:v>
                </c:pt>
                <c:pt idx="23">
                  <c:v>26.7</c:v>
                </c:pt>
                <c:pt idx="24">
                  <c:v>26.9</c:v>
                </c:pt>
                <c:pt idx="25">
                  <c:v>27</c:v>
                </c:pt>
                <c:pt idx="26">
                  <c:v>27.1</c:v>
                </c:pt>
                <c:pt idx="27">
                  <c:v>27.1</c:v>
                </c:pt>
                <c:pt idx="28">
                  <c:v>27.2</c:v>
                </c:pt>
                <c:pt idx="29">
                  <c:v>27.3</c:v>
                </c:pt>
                <c:pt idx="30">
                  <c:v>27.4</c:v>
                </c:pt>
                <c:pt idx="31">
                  <c:v>27.5</c:v>
                </c:pt>
                <c:pt idx="32">
                  <c:v>27.5</c:v>
                </c:pt>
                <c:pt idx="33">
                  <c:v>27.5</c:v>
                </c:pt>
                <c:pt idx="34">
                  <c:v>27.5</c:v>
                </c:pt>
                <c:pt idx="35">
                  <c:v>27.4</c:v>
                </c:pt>
                <c:pt idx="36">
                  <c:v>27.4</c:v>
                </c:pt>
                <c:pt idx="37">
                  <c:v>27.4</c:v>
                </c:pt>
                <c:pt idx="38">
                  <c:v>27.3</c:v>
                </c:pt>
                <c:pt idx="39">
                  <c:v>27.4</c:v>
                </c:pt>
                <c:pt idx="40">
                  <c:v>27.6</c:v>
                </c:pt>
                <c:pt idx="41">
                  <c:v>27.6</c:v>
                </c:pt>
                <c:pt idx="42">
                  <c:v>27.8</c:v>
                </c:pt>
                <c:pt idx="43">
                  <c:v>28</c:v>
                </c:pt>
              </c:numCache>
            </c:numRef>
          </c:val>
          <c:smooth val="0"/>
        </c:ser>
        <c:dLbls>
          <c:showLegendKey val="0"/>
          <c:showVal val="0"/>
          <c:showCatName val="0"/>
          <c:showSerName val="0"/>
          <c:showPercent val="0"/>
          <c:showBubbleSize val="0"/>
        </c:dLbls>
        <c:marker val="1"/>
        <c:smooth val="0"/>
        <c:axId val="297933744"/>
        <c:axId val="297933184"/>
      </c:lineChart>
      <c:catAx>
        <c:axId val="297933744"/>
        <c:scaling>
          <c:orientation val="minMax"/>
        </c:scaling>
        <c:delete val="0"/>
        <c:axPos val="b"/>
        <c:numFmt formatCode="General" sourceLinked="0"/>
        <c:majorTickMark val="out"/>
        <c:minorTickMark val="none"/>
        <c:tickLblPos val="nextTo"/>
        <c:crossAx val="297933184"/>
        <c:crosses val="autoZero"/>
        <c:auto val="1"/>
        <c:lblAlgn val="ctr"/>
        <c:lblOffset val="100"/>
        <c:tickLblSkip val="10"/>
        <c:tickMarkSkip val="10"/>
        <c:noMultiLvlLbl val="0"/>
      </c:catAx>
      <c:valAx>
        <c:axId val="297933184"/>
        <c:scaling>
          <c:orientation val="minMax"/>
        </c:scaling>
        <c:delete val="0"/>
        <c:axPos val="l"/>
        <c:majorGridlines/>
        <c:numFmt formatCode="_(* #,##0.0_);_(* \(#,##0.0\);_(* &quot;-&quot;??_);_(@_)" sourceLinked="1"/>
        <c:majorTickMark val="out"/>
        <c:minorTickMark val="none"/>
        <c:tickLblPos val="nextTo"/>
        <c:crossAx val="297933744"/>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Autocorrelation Function, r^2</a:t>
            </a:r>
          </a:p>
        </c:rich>
      </c:tx>
      <c:overlay val="0"/>
      <c:spPr>
        <a:noFill/>
        <a:ln>
          <a:noFill/>
        </a:ln>
        <a:effectLst/>
      </c:spPr>
    </c:title>
    <c:autoTitleDeleted val="0"/>
    <c:plotArea>
      <c:layout/>
      <c:scatterChart>
        <c:scatterStyle val="lineMarker"/>
        <c:varyColors val="0"/>
        <c:ser>
          <c:idx val="0"/>
          <c:order val="0"/>
          <c:tx>
            <c:strRef>
              <c:f>'Sample Auto Correlation Fn'!$D$49</c:f>
              <c:strCache>
                <c:ptCount val="1"/>
                <c:pt idx="0">
                  <c:v> r^2</c:v>
                </c:pt>
              </c:strCache>
            </c:strRef>
          </c:tx>
          <c:spPr>
            <a:ln w="28575" cap="rnd">
              <a:solidFill>
                <a:schemeClr val="accent1"/>
              </a:solidFill>
              <a:round/>
            </a:ln>
            <a:effectLst/>
          </c:spPr>
          <c:marker>
            <c:symbol val="dot"/>
            <c:size val="2"/>
            <c:spPr>
              <a:solidFill>
                <a:schemeClr val="accent1"/>
              </a:solidFill>
              <a:ln w="9525">
                <a:solidFill>
                  <a:schemeClr val="accent1"/>
                </a:solidFill>
              </a:ln>
              <a:effectLst/>
            </c:spPr>
          </c:marker>
          <c:dLbls>
            <c:delete val="1"/>
          </c:dLbls>
          <c:xVal>
            <c:numRef>
              <c:f>'Sample Auto Correlation Fn'!$E$48:$AU$48</c:f>
              <c:numCache>
                <c:formatCode>_(* #,##0_);_(* \(#,##0\);_(* "-"??_);_(@_)</c:formatCode>
                <c:ptCount val="43"/>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numCache>
            </c:numRef>
          </c:xVal>
          <c:yVal>
            <c:numRef>
              <c:f>'Sample Auto Correlation Fn'!$E$49:$AU$49</c:f>
              <c:numCache>
                <c:formatCode>_(* #,##0.00_);_(* \(#,##0.00\);_(* "-"??_);_(@_)</c:formatCode>
                <c:ptCount val="43"/>
                <c:pt idx="0">
                  <c:v>0.94547436496029968</c:v>
                </c:pt>
                <c:pt idx="1">
                  <c:v>0.88368520232535674</c:v>
                </c:pt>
                <c:pt idx="2">
                  <c:v>0.8181229198168366</c:v>
                </c:pt>
                <c:pt idx="3">
                  <c:v>0.74602201266669055</c:v>
                </c:pt>
                <c:pt idx="4">
                  <c:v>0.67776671568548308</c:v>
                </c:pt>
                <c:pt idx="5">
                  <c:v>0.61126568385202862</c:v>
                </c:pt>
                <c:pt idx="6">
                  <c:v>0.54137935522518299</c:v>
                </c:pt>
                <c:pt idx="7">
                  <c:v>0.47353000389800098</c:v>
                </c:pt>
                <c:pt idx="8">
                  <c:v>0.4056625299969786</c:v>
                </c:pt>
                <c:pt idx="9">
                  <c:v>0.33726225242504759</c:v>
                </c:pt>
                <c:pt idx="10">
                  <c:v>0.27137738810216794</c:v>
                </c:pt>
                <c:pt idx="11">
                  <c:v>0.20563387985524365</c:v>
                </c:pt>
                <c:pt idx="12">
                  <c:v>0.14224630620757484</c:v>
                </c:pt>
                <c:pt idx="13">
                  <c:v>8.42628840791214E-2</c:v>
                </c:pt>
                <c:pt idx="14">
                  <c:v>2.8671641697604319E-2</c:v>
                </c:pt>
                <c:pt idx="15">
                  <c:v>-2.452742093697638E-2</c:v>
                </c:pt>
                <c:pt idx="16">
                  <c:v>-7.5174825174824988E-2</c:v>
                </c:pt>
                <c:pt idx="17">
                  <c:v>-0.12426368806239688</c:v>
                </c:pt>
                <c:pt idx="18">
                  <c:v>-0.17666535744799883</c:v>
                </c:pt>
                <c:pt idx="19">
                  <c:v>-0.22619641113727704</c:v>
                </c:pt>
                <c:pt idx="20">
                  <c:v>-0.26980863221027174</c:v>
                </c:pt>
                <c:pt idx="21">
                  <c:v>-0.30911492973878124</c:v>
                </c:pt>
                <c:pt idx="22">
                  <c:v>-0.33789563638077036</c:v>
                </c:pt>
                <c:pt idx="23">
                  <c:v>-0.3620514621786825</c:v>
                </c:pt>
                <c:pt idx="24">
                  <c:v>-0.37825147806064724</c:v>
                </c:pt>
                <c:pt idx="25">
                  <c:v>-0.38918869849935189</c:v>
                </c:pt>
                <c:pt idx="26">
                  <c:v>-0.40111903598451198</c:v>
                </c:pt>
                <c:pt idx="27">
                  <c:v>-0.40854772612771001</c:v>
                </c:pt>
                <c:pt idx="28">
                  <c:v>-0.4107136208276479</c:v>
                </c:pt>
                <c:pt idx="29">
                  <c:v>-0.40793567738391739</c:v>
                </c:pt>
                <c:pt idx="30">
                  <c:v>-0.40117076769529297</c:v>
                </c:pt>
                <c:pt idx="31">
                  <c:v>-0.38737067484181464</c:v>
                </c:pt>
                <c:pt idx="32">
                  <c:v>-0.36954737059576148</c:v>
                </c:pt>
                <c:pt idx="33">
                  <c:v>-0.35106802917668495</c:v>
                </c:pt>
                <c:pt idx="34">
                  <c:v>-0.32872495501482923</c:v>
                </c:pt>
                <c:pt idx="35">
                  <c:v>-0.30521116258288206</c:v>
                </c:pt>
                <c:pt idx="36">
                  <c:v>-0.28040341837872829</c:v>
                </c:pt>
                <c:pt idx="37">
                  <c:v>-0.25093454818281674</c:v>
                </c:pt>
                <c:pt idx="38">
                  <c:v>-0.22158891148901999</c:v>
                </c:pt>
                <c:pt idx="39">
                  <c:v>-0.18634256475278024</c:v>
                </c:pt>
                <c:pt idx="40">
                  <c:v>-0.14234301485161407</c:v>
                </c:pt>
                <c:pt idx="41">
                  <c:v>-9.7386593051673367E-2</c:v>
                </c:pt>
                <c:pt idx="42">
                  <c:v>-4.8816530027951575E-2</c:v>
                </c:pt>
              </c:numCache>
            </c:numRef>
          </c:yVal>
          <c:smooth val="0"/>
        </c:ser>
        <c:dLbls>
          <c:showLegendKey val="0"/>
          <c:showVal val="1"/>
          <c:showCatName val="0"/>
          <c:showSerName val="0"/>
          <c:showPercent val="0"/>
          <c:showBubbleSize val="0"/>
        </c:dLbls>
        <c:axId val="298153328"/>
        <c:axId val="298153888"/>
      </c:scatterChart>
      <c:valAx>
        <c:axId val="298153328"/>
        <c:scaling>
          <c:orientation val="minMax"/>
        </c:scaling>
        <c:delete val="0"/>
        <c:axPos val="b"/>
        <c:majorGridlines>
          <c:spPr>
            <a:ln w="9525" cap="flat" cmpd="sng" algn="ctr">
              <a:solidFill>
                <a:schemeClr val="tx1">
                  <a:lumMod val="15000"/>
                  <a:lumOff val="85000"/>
                </a:schemeClr>
              </a:solidFill>
              <a:round/>
            </a:ln>
            <a:effectLst/>
          </c:spPr>
        </c:majorGridlines>
        <c:title>
          <c:tx>
            <c:rich>
              <a:bodyPr/>
              <a:lstStyle/>
              <a:p>
                <a:pPr>
                  <a:defRPr/>
                </a:pPr>
                <a:r>
                  <a:rPr lang="en-US"/>
                  <a:t>Lag</a:t>
                </a:r>
              </a:p>
            </c:rich>
          </c:tx>
          <c:overlay val="0"/>
        </c:title>
        <c:numFmt formatCode="_(* #,##0_);_(* \(#,##0\);_(* &quot;-&quot;??_);_(@_)"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8153888"/>
        <c:crosses val="autoZero"/>
        <c:crossBetween val="midCat"/>
      </c:valAx>
      <c:valAx>
        <c:axId val="298153888"/>
        <c:scaling>
          <c:orientation val="minMax"/>
        </c:scaling>
        <c:delete val="0"/>
        <c:axPos val="l"/>
        <c:majorGridlines>
          <c:spPr>
            <a:ln w="9525" cap="flat" cmpd="sng" algn="ctr">
              <a:solidFill>
                <a:schemeClr val="tx1">
                  <a:lumMod val="15000"/>
                  <a:lumOff val="85000"/>
                </a:schemeClr>
              </a:solidFill>
              <a:round/>
            </a:ln>
            <a:effectLst/>
          </c:spPr>
        </c:majorGridlines>
        <c:numFmt formatCode="_(* #,##0.00_);_(* \(#,##0.00\);_(* &quot;-&quot;??_);_(@_)"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8153328"/>
        <c:crosses val="autoZero"/>
        <c:crossBetween val="midCat"/>
      </c:valAx>
      <c:spPr>
        <a:noFill/>
        <a:ln>
          <a:noFill/>
        </a:ln>
        <a:effectLst/>
      </c:spPr>
    </c:plotArea>
    <c:legend>
      <c:legendPos val="r"/>
      <c:overlay val="0"/>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lineChart>
        <c:grouping val="standard"/>
        <c:varyColors val="0"/>
        <c:ser>
          <c:idx val="2"/>
          <c:order val="0"/>
          <c:tx>
            <c:strRef>
              <c:f>'1st Difference'!$C$1</c:f>
              <c:strCache>
                <c:ptCount val="1"/>
                <c:pt idx="0">
                  <c:v>First Difference</c:v>
                </c:pt>
              </c:strCache>
            </c:strRef>
          </c:tx>
          <c:spPr>
            <a:ln>
              <a:solidFill>
                <a:schemeClr val="accent1"/>
              </a:solidFill>
            </a:ln>
          </c:spPr>
          <c:marker>
            <c:symbol val="dot"/>
            <c:size val="2"/>
          </c:marker>
          <c:cat>
            <c:strRef>
              <c:f>'1st Difference'!$A$1:$A$45</c:f>
              <c:strCache>
                <c:ptCount val="45"/>
                <c:pt idx="0">
                  <c:v>Year</c:v>
                </c:pt>
                <c:pt idx="1">
                  <c:v>1971</c:v>
                </c:pt>
                <c:pt idx="2">
                  <c:v>1972</c:v>
                </c:pt>
                <c:pt idx="3">
                  <c:v>1973</c:v>
                </c:pt>
                <c:pt idx="4">
                  <c:v>1974</c:v>
                </c:pt>
                <c:pt idx="5">
                  <c:v>1975</c:v>
                </c:pt>
                <c:pt idx="6">
                  <c:v>1976</c:v>
                </c:pt>
                <c:pt idx="7">
                  <c:v>1977</c:v>
                </c:pt>
                <c:pt idx="8">
                  <c:v>1978</c:v>
                </c:pt>
                <c:pt idx="9">
                  <c:v>1979</c:v>
                </c:pt>
                <c:pt idx="10">
                  <c:v>1980</c:v>
                </c:pt>
                <c:pt idx="11">
                  <c:v>1981</c:v>
                </c:pt>
                <c:pt idx="12">
                  <c:v>1982</c:v>
                </c:pt>
                <c:pt idx="13">
                  <c:v>1983</c:v>
                </c:pt>
                <c:pt idx="14">
                  <c:v>1984</c:v>
                </c:pt>
                <c:pt idx="15">
                  <c:v>1985</c:v>
                </c:pt>
                <c:pt idx="16">
                  <c:v>1986</c:v>
                </c:pt>
                <c:pt idx="17">
                  <c:v>1987</c:v>
                </c:pt>
                <c:pt idx="18">
                  <c:v>1988</c:v>
                </c:pt>
                <c:pt idx="19">
                  <c:v>1989</c:v>
                </c:pt>
                <c:pt idx="20">
                  <c:v>1990</c:v>
                </c:pt>
                <c:pt idx="21">
                  <c:v>1991</c:v>
                </c:pt>
                <c:pt idx="22">
                  <c:v>1992</c:v>
                </c:pt>
                <c:pt idx="23">
                  <c:v>1993</c:v>
                </c:pt>
                <c:pt idx="24">
                  <c:v>1994</c:v>
                </c:pt>
                <c:pt idx="25">
                  <c:v>1995</c:v>
                </c:pt>
                <c:pt idx="26">
                  <c:v>1996</c:v>
                </c:pt>
                <c:pt idx="27">
                  <c:v>1997</c:v>
                </c:pt>
                <c:pt idx="28">
                  <c:v>1998</c:v>
                </c:pt>
                <c:pt idx="29">
                  <c:v>1999</c:v>
                </c:pt>
                <c:pt idx="30">
                  <c:v>2000</c:v>
                </c:pt>
                <c:pt idx="31">
                  <c:v>2001</c:v>
                </c:pt>
                <c:pt idx="32">
                  <c:v>2002</c:v>
                </c:pt>
                <c:pt idx="33">
                  <c:v>2003</c:v>
                </c:pt>
                <c:pt idx="34">
                  <c:v>2004</c:v>
                </c:pt>
                <c:pt idx="35">
                  <c:v>2005</c:v>
                </c:pt>
                <c:pt idx="36">
                  <c:v>2006</c:v>
                </c:pt>
                <c:pt idx="37">
                  <c:v>2007</c:v>
                </c:pt>
                <c:pt idx="38">
                  <c:v>2008</c:v>
                </c:pt>
                <c:pt idx="39">
                  <c:v>2009</c:v>
                </c:pt>
                <c:pt idx="40">
                  <c:v>2010</c:v>
                </c:pt>
                <c:pt idx="41">
                  <c:v>2011</c:v>
                </c:pt>
                <c:pt idx="42">
                  <c:v>2012</c:v>
                </c:pt>
                <c:pt idx="43">
                  <c:v>2013</c:v>
                </c:pt>
                <c:pt idx="44">
                  <c:v>2014</c:v>
                </c:pt>
              </c:strCache>
            </c:strRef>
          </c:cat>
          <c:val>
            <c:numRef>
              <c:f>'1st Difference'!$C$2:$C$45</c:f>
              <c:numCache>
                <c:formatCode>_(* #,##0.0_);_(* \(#,##0.0\);_(* "-"??_);_(@_)</c:formatCode>
                <c:ptCount val="44"/>
                <c:pt idx="1">
                  <c:v>-0.19999999999999929</c:v>
                </c:pt>
                <c:pt idx="2">
                  <c:v>-0.10000000000000142</c:v>
                </c:pt>
                <c:pt idx="3">
                  <c:v>0</c:v>
                </c:pt>
                <c:pt idx="4">
                  <c:v>0.10000000000000142</c:v>
                </c:pt>
                <c:pt idx="5">
                  <c:v>9.9999999999997868E-2</c:v>
                </c:pt>
                <c:pt idx="6">
                  <c:v>0.10000000000000142</c:v>
                </c:pt>
                <c:pt idx="7">
                  <c:v>0.19999999999999929</c:v>
                </c:pt>
                <c:pt idx="8">
                  <c:v>0.10000000000000142</c:v>
                </c:pt>
                <c:pt idx="9">
                  <c:v>0.19999999999999929</c:v>
                </c:pt>
                <c:pt idx="10">
                  <c:v>0.19999999999999929</c:v>
                </c:pt>
                <c:pt idx="11">
                  <c:v>0.10000000000000142</c:v>
                </c:pt>
                <c:pt idx="12">
                  <c:v>0.19999999999999929</c:v>
                </c:pt>
                <c:pt idx="13">
                  <c:v>0.19999999999999929</c:v>
                </c:pt>
                <c:pt idx="14">
                  <c:v>0.10000000000000142</c:v>
                </c:pt>
                <c:pt idx="15">
                  <c:v>9.9999999999997868E-2</c:v>
                </c:pt>
                <c:pt idx="16">
                  <c:v>0.10000000000000142</c:v>
                </c:pt>
                <c:pt idx="17">
                  <c:v>0.19999999999999929</c:v>
                </c:pt>
                <c:pt idx="18">
                  <c:v>-9.9999999999997868E-2</c:v>
                </c:pt>
                <c:pt idx="19">
                  <c:v>9.9999999999997868E-2</c:v>
                </c:pt>
                <c:pt idx="20">
                  <c:v>0.10000000000000142</c:v>
                </c:pt>
                <c:pt idx="21">
                  <c:v>9.9999999999997868E-2</c:v>
                </c:pt>
                <c:pt idx="22">
                  <c:v>0.20000000000000284</c:v>
                </c:pt>
                <c:pt idx="23">
                  <c:v>9.9999999999997868E-2</c:v>
                </c:pt>
                <c:pt idx="24">
                  <c:v>0.19999999999999929</c:v>
                </c:pt>
                <c:pt idx="25">
                  <c:v>0.10000000000000142</c:v>
                </c:pt>
                <c:pt idx="26">
                  <c:v>0.10000000000000142</c:v>
                </c:pt>
                <c:pt idx="27">
                  <c:v>0</c:v>
                </c:pt>
                <c:pt idx="28">
                  <c:v>9.9999999999997868E-2</c:v>
                </c:pt>
                <c:pt idx="29">
                  <c:v>0.10000000000000142</c:v>
                </c:pt>
                <c:pt idx="30">
                  <c:v>9.9999999999997868E-2</c:v>
                </c:pt>
                <c:pt idx="31">
                  <c:v>0.10000000000000142</c:v>
                </c:pt>
                <c:pt idx="32">
                  <c:v>0</c:v>
                </c:pt>
                <c:pt idx="33">
                  <c:v>0</c:v>
                </c:pt>
                <c:pt idx="34">
                  <c:v>0</c:v>
                </c:pt>
                <c:pt idx="35">
                  <c:v>-0.10000000000000142</c:v>
                </c:pt>
                <c:pt idx="36">
                  <c:v>0</c:v>
                </c:pt>
                <c:pt idx="37">
                  <c:v>0</c:v>
                </c:pt>
                <c:pt idx="38">
                  <c:v>-9.9999999999997868E-2</c:v>
                </c:pt>
                <c:pt idx="39">
                  <c:v>9.9999999999997868E-2</c:v>
                </c:pt>
                <c:pt idx="40">
                  <c:v>0.20000000000000284</c:v>
                </c:pt>
                <c:pt idx="41">
                  <c:v>0</c:v>
                </c:pt>
                <c:pt idx="42">
                  <c:v>0.19999999999999929</c:v>
                </c:pt>
                <c:pt idx="43">
                  <c:v>0.19999999999999929</c:v>
                </c:pt>
              </c:numCache>
            </c:numRef>
          </c:val>
          <c:smooth val="0"/>
        </c:ser>
        <c:dLbls>
          <c:showLegendKey val="0"/>
          <c:showVal val="0"/>
          <c:showCatName val="0"/>
          <c:showSerName val="0"/>
          <c:showPercent val="0"/>
          <c:showBubbleSize val="0"/>
        </c:dLbls>
        <c:marker val="1"/>
        <c:smooth val="0"/>
        <c:axId val="298148112"/>
        <c:axId val="298148672"/>
      </c:lineChart>
      <c:catAx>
        <c:axId val="298148112"/>
        <c:scaling>
          <c:orientation val="minMax"/>
        </c:scaling>
        <c:delete val="0"/>
        <c:axPos val="b"/>
        <c:numFmt formatCode="General" sourceLinked="0"/>
        <c:majorTickMark val="out"/>
        <c:minorTickMark val="none"/>
        <c:tickLblPos val="nextTo"/>
        <c:crossAx val="298148672"/>
        <c:crosses val="autoZero"/>
        <c:auto val="1"/>
        <c:lblAlgn val="ctr"/>
        <c:lblOffset val="100"/>
        <c:tickLblSkip val="10"/>
        <c:tickMarkSkip val="10"/>
        <c:noMultiLvlLbl val="0"/>
      </c:catAx>
      <c:valAx>
        <c:axId val="298148672"/>
        <c:scaling>
          <c:orientation val="minMax"/>
          <c:max val="1"/>
          <c:min val="-1"/>
        </c:scaling>
        <c:delete val="0"/>
        <c:axPos val="l"/>
        <c:majorGridlines/>
        <c:numFmt formatCode="_(* #,##0.0_);_(* \(#,##0.0\);_(* &quot;-&quot;??_);_(@_)" sourceLinked="1"/>
        <c:majorTickMark val="out"/>
        <c:minorTickMark val="none"/>
        <c:tickLblPos val="nextTo"/>
        <c:crossAx val="298148112"/>
        <c:crosses val="autoZero"/>
        <c:crossBetween val="between"/>
      </c:valAx>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Autocorrelation Function of 1st Diiferences, r^2</a:t>
            </a:r>
          </a:p>
        </c:rich>
      </c:tx>
      <c:overlay val="0"/>
      <c:spPr>
        <a:noFill/>
        <a:ln>
          <a:noFill/>
        </a:ln>
        <a:effectLst/>
      </c:spPr>
    </c:title>
    <c:autoTitleDeleted val="0"/>
    <c:plotArea>
      <c:layout/>
      <c:scatterChart>
        <c:scatterStyle val="lineMarker"/>
        <c:varyColors val="0"/>
        <c:ser>
          <c:idx val="0"/>
          <c:order val="0"/>
          <c:tx>
            <c:strRef>
              <c:f>'ACF of 1st Difference'!$E$49</c:f>
              <c:strCache>
                <c:ptCount val="1"/>
                <c:pt idx="0">
                  <c:v>r^2</c:v>
                </c:pt>
              </c:strCache>
            </c:strRef>
          </c:tx>
          <c:spPr>
            <a:ln w="28575" cap="rnd">
              <a:solidFill>
                <a:schemeClr val="accent1"/>
              </a:solidFill>
              <a:round/>
            </a:ln>
            <a:effectLst/>
          </c:spPr>
          <c:marker>
            <c:symbol val="dot"/>
            <c:size val="2"/>
            <c:spPr>
              <a:solidFill>
                <a:schemeClr val="accent1"/>
              </a:solidFill>
              <a:ln w="9525">
                <a:solidFill>
                  <a:schemeClr val="accent1"/>
                </a:solidFill>
              </a:ln>
              <a:effectLst/>
            </c:spPr>
          </c:marker>
          <c:xVal>
            <c:numRef>
              <c:f>'ACF of 1st Difference'!$F$48:$AU$48</c:f>
              <c:numCache>
                <c:formatCode>_(* #,##0_);_(* \(#,##0\);_(* "-"??_);_(@_)</c:formatCode>
                <c:ptCount val="4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numCache>
            </c:numRef>
          </c:xVal>
          <c:yVal>
            <c:numRef>
              <c:f>'ACF of 1st Difference'!$F$49:$AU$49</c:f>
              <c:numCache>
                <c:formatCode>_(* #,##0.00_);_(* \(#,##0.00\);_(* "-"??_);_(@_)</c:formatCode>
                <c:ptCount val="42"/>
                <c:pt idx="0">
                  <c:v>0.34929520126202596</c:v>
                </c:pt>
                <c:pt idx="1">
                  <c:v>0.25876545722863931</c:v>
                </c:pt>
                <c:pt idx="2">
                  <c:v>0.26670398453005117</c:v>
                </c:pt>
                <c:pt idx="3">
                  <c:v>2.7606737570606012E-3</c:v>
                </c:pt>
                <c:pt idx="4">
                  <c:v>-6.8622461961223777E-2</c:v>
                </c:pt>
                <c:pt idx="5">
                  <c:v>-0.13125286244974771</c:v>
                </c:pt>
                <c:pt idx="6">
                  <c:v>-8.5021118518144687E-2</c:v>
                </c:pt>
                <c:pt idx="7">
                  <c:v>-0.19907383848150192</c:v>
                </c:pt>
                <c:pt idx="8">
                  <c:v>-0.10141977507505875</c:v>
                </c:pt>
                <c:pt idx="9">
                  <c:v>-0.12575695893338892</c:v>
                </c:pt>
                <c:pt idx="10">
                  <c:v>-0.19276372703679273</c:v>
                </c:pt>
                <c:pt idx="11">
                  <c:v>-7.5963055315251521E-2</c:v>
                </c:pt>
                <c:pt idx="12">
                  <c:v>-8.1153630858481249E-2</c:v>
                </c:pt>
                <c:pt idx="13">
                  <c:v>-3.4921886926872377E-2</c:v>
                </c:pt>
                <c:pt idx="14">
                  <c:v>-1.2213118925247398E-2</c:v>
                </c:pt>
                <c:pt idx="15">
                  <c:v>-1.3027326853593717E-2</c:v>
                </c:pt>
                <c:pt idx="16">
                  <c:v>0.17434227265787999</c:v>
                </c:pt>
                <c:pt idx="17">
                  <c:v>1.7619968449445592E-2</c:v>
                </c:pt>
                <c:pt idx="18">
                  <c:v>-3.0240191338865956E-2</c:v>
                </c:pt>
                <c:pt idx="19">
                  <c:v>-3.5430766882092325E-2</c:v>
                </c:pt>
                <c:pt idx="20">
                  <c:v>-0.17738283039031244</c:v>
                </c:pt>
                <c:pt idx="21">
                  <c:v>-0.21047274947839786</c:v>
                </c:pt>
                <c:pt idx="22">
                  <c:v>-0.14071802961681421</c:v>
                </c:pt>
                <c:pt idx="23">
                  <c:v>-0.16943158109002279</c:v>
                </c:pt>
                <c:pt idx="24">
                  <c:v>-0.17024578901837076</c:v>
                </c:pt>
                <c:pt idx="25">
                  <c:v>-6.821535799704781E-2</c:v>
                </c:pt>
                <c:pt idx="26">
                  <c:v>-6.9029565925398287E-2</c:v>
                </c:pt>
                <c:pt idx="27">
                  <c:v>-0.14041270164368197</c:v>
                </c:pt>
                <c:pt idx="28">
                  <c:v>-7.0657981782096813E-2</c:v>
                </c:pt>
                <c:pt idx="29">
                  <c:v>9.3188641799397953E-2</c:v>
                </c:pt>
                <c:pt idx="30">
                  <c:v>8.799806625617157E-2</c:v>
                </c:pt>
                <c:pt idx="31">
                  <c:v>0.13422981018777708</c:v>
                </c:pt>
                <c:pt idx="32">
                  <c:v>0.23188387359422108</c:v>
                </c:pt>
                <c:pt idx="33">
                  <c:v>0.18402371380591451</c:v>
                </c:pt>
                <c:pt idx="34">
                  <c:v>0.16406289756246439</c:v>
                </c:pt>
                <c:pt idx="35">
                  <c:v>0.16762505724899626</c:v>
                </c:pt>
                <c:pt idx="36">
                  <c:v>9.6241921530709221E-2</c:v>
                </c:pt>
                <c:pt idx="37">
                  <c:v>-3.6957406747748729E-2</c:v>
                </c:pt>
                <c:pt idx="38">
                  <c:v>-6.1294590606077094E-2</c:v>
                </c:pt>
                <c:pt idx="39">
                  <c:v>-1.9439214289349284E-2</c:v>
                </c:pt>
                <c:pt idx="40">
                  <c:v>-0.12911556663782989</c:v>
                </c:pt>
                <c:pt idx="41">
                  <c:v>-7.8507455091343478E-2</c:v>
                </c:pt>
              </c:numCache>
            </c:numRef>
          </c:yVal>
          <c:smooth val="0"/>
        </c:ser>
        <c:dLbls>
          <c:showLegendKey val="0"/>
          <c:showVal val="0"/>
          <c:showCatName val="0"/>
          <c:showSerName val="0"/>
          <c:showPercent val="0"/>
          <c:showBubbleSize val="0"/>
        </c:dLbls>
        <c:axId val="298150912"/>
        <c:axId val="298135264"/>
      </c:scatterChart>
      <c:valAx>
        <c:axId val="298150912"/>
        <c:scaling>
          <c:orientation val="minMax"/>
        </c:scaling>
        <c:delete val="0"/>
        <c:axPos val="b"/>
        <c:majorGridlines>
          <c:spPr>
            <a:ln w="9525" cap="flat" cmpd="sng" algn="ctr">
              <a:solidFill>
                <a:schemeClr val="tx1">
                  <a:lumMod val="15000"/>
                  <a:lumOff val="85000"/>
                </a:schemeClr>
              </a:solidFill>
              <a:round/>
            </a:ln>
            <a:effectLst/>
          </c:spPr>
        </c:majorGridlines>
        <c:title>
          <c:tx>
            <c:rich>
              <a:bodyPr/>
              <a:lstStyle/>
              <a:p>
                <a:pPr>
                  <a:defRPr/>
                </a:pPr>
                <a:r>
                  <a:rPr lang="en-US"/>
                  <a:t>Lag</a:t>
                </a:r>
              </a:p>
            </c:rich>
          </c:tx>
          <c:overlay val="0"/>
        </c:title>
        <c:numFmt formatCode="_(* #,##0_);_(* \(#,##0\);_(* &quot;-&quot;??_);_(@_)"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8135264"/>
        <c:crosses val="autoZero"/>
        <c:crossBetween val="midCat"/>
      </c:valAx>
      <c:valAx>
        <c:axId val="298135264"/>
        <c:scaling>
          <c:orientation val="minMax"/>
          <c:max val="1"/>
          <c:min val="-1"/>
        </c:scaling>
        <c:delete val="0"/>
        <c:axPos val="l"/>
        <c:majorGridlines>
          <c:spPr>
            <a:ln w="9525" cap="flat" cmpd="sng" algn="ctr">
              <a:solidFill>
                <a:schemeClr val="tx1">
                  <a:lumMod val="15000"/>
                  <a:lumOff val="85000"/>
                </a:schemeClr>
              </a:solidFill>
              <a:round/>
            </a:ln>
            <a:effectLst/>
          </c:spPr>
        </c:majorGridlines>
        <c:numFmt formatCode="_(* #,##0.00_);_(* \(#,##0.00\);_(* &quot;-&quot;??_);_(@_)"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8150912"/>
        <c:crosses val="autoZero"/>
        <c:crossBetween val="midCat"/>
      </c:valAx>
      <c:spPr>
        <a:noFill/>
        <a:ln>
          <a:noFill/>
        </a:ln>
        <a:effectLst/>
      </c:spPr>
    </c:plotArea>
    <c:legend>
      <c:legendPos val="r"/>
      <c:overlay val="0"/>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Actual versus Fitted, Average Maternal Age</a:t>
            </a:r>
          </a:p>
        </c:rich>
      </c:tx>
      <c:overlay val="0"/>
    </c:title>
    <c:autoTitleDeleted val="0"/>
    <c:plotArea>
      <c:layout/>
      <c:lineChart>
        <c:grouping val="standard"/>
        <c:varyColors val="0"/>
        <c:ser>
          <c:idx val="1"/>
          <c:order val="0"/>
          <c:tx>
            <c:strRef>
              <c:f>'Actual vs Fitted'!$B$3</c:f>
              <c:strCache>
                <c:ptCount val="1"/>
                <c:pt idx="0">
                  <c:v>Actual </c:v>
                </c:pt>
              </c:strCache>
            </c:strRef>
          </c:tx>
          <c:spPr>
            <a:ln>
              <a:solidFill>
                <a:srgbClr val="0070C0"/>
              </a:solidFill>
            </a:ln>
          </c:spPr>
          <c:marker>
            <c:symbol val="dot"/>
            <c:size val="2"/>
          </c:marker>
          <c:cat>
            <c:strRef>
              <c:f>'Actual vs Fitted'!$A$3:$A$47</c:f>
              <c:strCache>
                <c:ptCount val="45"/>
                <c:pt idx="0">
                  <c:v>Year</c:v>
                </c:pt>
                <c:pt idx="1">
                  <c:v>1971</c:v>
                </c:pt>
                <c:pt idx="2">
                  <c:v>1972</c:v>
                </c:pt>
                <c:pt idx="3">
                  <c:v>1973</c:v>
                </c:pt>
                <c:pt idx="4">
                  <c:v>1974</c:v>
                </c:pt>
                <c:pt idx="5">
                  <c:v>1975</c:v>
                </c:pt>
                <c:pt idx="6">
                  <c:v>1976</c:v>
                </c:pt>
                <c:pt idx="7">
                  <c:v>1977</c:v>
                </c:pt>
                <c:pt idx="8">
                  <c:v>1978</c:v>
                </c:pt>
                <c:pt idx="9">
                  <c:v>1979</c:v>
                </c:pt>
                <c:pt idx="10">
                  <c:v>1980</c:v>
                </c:pt>
                <c:pt idx="11">
                  <c:v>1981</c:v>
                </c:pt>
                <c:pt idx="12">
                  <c:v>1982</c:v>
                </c:pt>
                <c:pt idx="13">
                  <c:v>1983</c:v>
                </c:pt>
                <c:pt idx="14">
                  <c:v>1984</c:v>
                </c:pt>
                <c:pt idx="15">
                  <c:v>1985</c:v>
                </c:pt>
                <c:pt idx="16">
                  <c:v>1986</c:v>
                </c:pt>
                <c:pt idx="17">
                  <c:v>1987</c:v>
                </c:pt>
                <c:pt idx="18">
                  <c:v>1988</c:v>
                </c:pt>
                <c:pt idx="19">
                  <c:v>1989</c:v>
                </c:pt>
                <c:pt idx="20">
                  <c:v>1990</c:v>
                </c:pt>
                <c:pt idx="21">
                  <c:v>1991</c:v>
                </c:pt>
                <c:pt idx="22">
                  <c:v>1992</c:v>
                </c:pt>
                <c:pt idx="23">
                  <c:v>1993</c:v>
                </c:pt>
                <c:pt idx="24">
                  <c:v>1994</c:v>
                </c:pt>
                <c:pt idx="25">
                  <c:v>1995</c:v>
                </c:pt>
                <c:pt idx="26">
                  <c:v>1996</c:v>
                </c:pt>
                <c:pt idx="27">
                  <c:v>1997</c:v>
                </c:pt>
                <c:pt idx="28">
                  <c:v>1998</c:v>
                </c:pt>
                <c:pt idx="29">
                  <c:v>1999</c:v>
                </c:pt>
                <c:pt idx="30">
                  <c:v>2000</c:v>
                </c:pt>
                <c:pt idx="31">
                  <c:v>2001</c:v>
                </c:pt>
                <c:pt idx="32">
                  <c:v>2002</c:v>
                </c:pt>
                <c:pt idx="33">
                  <c:v>2003</c:v>
                </c:pt>
                <c:pt idx="34">
                  <c:v>2004</c:v>
                </c:pt>
                <c:pt idx="35">
                  <c:v>2005</c:v>
                </c:pt>
                <c:pt idx="36">
                  <c:v>2006</c:v>
                </c:pt>
                <c:pt idx="37">
                  <c:v>2007</c:v>
                </c:pt>
                <c:pt idx="38">
                  <c:v>2008</c:v>
                </c:pt>
                <c:pt idx="39">
                  <c:v>2009</c:v>
                </c:pt>
                <c:pt idx="40">
                  <c:v>2010</c:v>
                </c:pt>
                <c:pt idx="41">
                  <c:v>2011</c:v>
                </c:pt>
                <c:pt idx="42">
                  <c:v>2012</c:v>
                </c:pt>
                <c:pt idx="43">
                  <c:v>2013</c:v>
                </c:pt>
                <c:pt idx="44">
                  <c:v>2014</c:v>
                </c:pt>
              </c:strCache>
            </c:strRef>
          </c:cat>
          <c:val>
            <c:numRef>
              <c:f>'Actual vs Fitted'!$B$5:$B$47</c:f>
              <c:numCache>
                <c:formatCode>_(* #,##0.0_);_(* \(#,##0.0\);_(* "-"??_);_(@_)</c:formatCode>
                <c:ptCount val="43"/>
                <c:pt idx="0">
                  <c:v>24.3</c:v>
                </c:pt>
                <c:pt idx="1">
                  <c:v>24.2</c:v>
                </c:pt>
                <c:pt idx="2">
                  <c:v>24.2</c:v>
                </c:pt>
                <c:pt idx="3">
                  <c:v>24.3</c:v>
                </c:pt>
                <c:pt idx="4">
                  <c:v>24.4</c:v>
                </c:pt>
                <c:pt idx="5">
                  <c:v>24.5</c:v>
                </c:pt>
                <c:pt idx="6">
                  <c:v>24.7</c:v>
                </c:pt>
                <c:pt idx="7">
                  <c:v>24.8</c:v>
                </c:pt>
                <c:pt idx="8">
                  <c:v>25</c:v>
                </c:pt>
                <c:pt idx="9">
                  <c:v>25.2</c:v>
                </c:pt>
                <c:pt idx="10">
                  <c:v>25.3</c:v>
                </c:pt>
                <c:pt idx="11">
                  <c:v>25.5</c:v>
                </c:pt>
                <c:pt idx="12">
                  <c:v>25.7</c:v>
                </c:pt>
                <c:pt idx="13">
                  <c:v>25.8</c:v>
                </c:pt>
                <c:pt idx="14">
                  <c:v>25.9</c:v>
                </c:pt>
                <c:pt idx="15">
                  <c:v>26</c:v>
                </c:pt>
                <c:pt idx="16">
                  <c:v>26.2</c:v>
                </c:pt>
                <c:pt idx="17">
                  <c:v>26.1</c:v>
                </c:pt>
                <c:pt idx="18">
                  <c:v>26.2</c:v>
                </c:pt>
                <c:pt idx="19">
                  <c:v>26.3</c:v>
                </c:pt>
                <c:pt idx="20">
                  <c:v>26.4</c:v>
                </c:pt>
                <c:pt idx="21">
                  <c:v>26.6</c:v>
                </c:pt>
                <c:pt idx="22">
                  <c:v>26.7</c:v>
                </c:pt>
                <c:pt idx="23">
                  <c:v>26.9</c:v>
                </c:pt>
                <c:pt idx="24">
                  <c:v>27</c:v>
                </c:pt>
                <c:pt idx="25">
                  <c:v>27.1</c:v>
                </c:pt>
                <c:pt idx="26">
                  <c:v>27.1</c:v>
                </c:pt>
                <c:pt idx="27">
                  <c:v>27.2</c:v>
                </c:pt>
                <c:pt idx="28">
                  <c:v>27.3</c:v>
                </c:pt>
                <c:pt idx="29">
                  <c:v>27.4</c:v>
                </c:pt>
                <c:pt idx="30">
                  <c:v>27.5</c:v>
                </c:pt>
                <c:pt idx="31">
                  <c:v>27.5</c:v>
                </c:pt>
                <c:pt idx="32">
                  <c:v>27.5</c:v>
                </c:pt>
                <c:pt idx="33">
                  <c:v>27.5</c:v>
                </c:pt>
                <c:pt idx="34">
                  <c:v>27.4</c:v>
                </c:pt>
                <c:pt idx="35">
                  <c:v>27.4</c:v>
                </c:pt>
                <c:pt idx="36">
                  <c:v>27.4</c:v>
                </c:pt>
                <c:pt idx="37">
                  <c:v>27.3</c:v>
                </c:pt>
                <c:pt idx="38">
                  <c:v>27.4</c:v>
                </c:pt>
                <c:pt idx="39">
                  <c:v>27.6</c:v>
                </c:pt>
                <c:pt idx="40">
                  <c:v>27.6</c:v>
                </c:pt>
                <c:pt idx="41">
                  <c:v>27.8</c:v>
                </c:pt>
                <c:pt idx="42">
                  <c:v>28</c:v>
                </c:pt>
              </c:numCache>
            </c:numRef>
          </c:val>
          <c:smooth val="0"/>
        </c:ser>
        <c:ser>
          <c:idx val="2"/>
          <c:order val="1"/>
          <c:tx>
            <c:strRef>
              <c:f>'Actual vs Fitted'!$C$3:$C$4</c:f>
              <c:strCache>
                <c:ptCount val="1"/>
                <c:pt idx="0">
                  <c:v>Fitted</c:v>
                </c:pt>
              </c:strCache>
            </c:strRef>
          </c:tx>
          <c:spPr>
            <a:ln>
              <a:solidFill>
                <a:srgbClr val="00B050"/>
              </a:solidFill>
            </a:ln>
          </c:spPr>
          <c:marker>
            <c:symbol val="dot"/>
            <c:size val="2"/>
          </c:marker>
          <c:cat>
            <c:strRef>
              <c:f>'Actual vs Fitted'!$A$3:$A$47</c:f>
              <c:strCache>
                <c:ptCount val="45"/>
                <c:pt idx="0">
                  <c:v>Year</c:v>
                </c:pt>
                <c:pt idx="1">
                  <c:v>1971</c:v>
                </c:pt>
                <c:pt idx="2">
                  <c:v>1972</c:v>
                </c:pt>
                <c:pt idx="3">
                  <c:v>1973</c:v>
                </c:pt>
                <c:pt idx="4">
                  <c:v>1974</c:v>
                </c:pt>
                <c:pt idx="5">
                  <c:v>1975</c:v>
                </c:pt>
                <c:pt idx="6">
                  <c:v>1976</c:v>
                </c:pt>
                <c:pt idx="7">
                  <c:v>1977</c:v>
                </c:pt>
                <c:pt idx="8">
                  <c:v>1978</c:v>
                </c:pt>
                <c:pt idx="9">
                  <c:v>1979</c:v>
                </c:pt>
                <c:pt idx="10">
                  <c:v>1980</c:v>
                </c:pt>
                <c:pt idx="11">
                  <c:v>1981</c:v>
                </c:pt>
                <c:pt idx="12">
                  <c:v>1982</c:v>
                </c:pt>
                <c:pt idx="13">
                  <c:v>1983</c:v>
                </c:pt>
                <c:pt idx="14">
                  <c:v>1984</c:v>
                </c:pt>
                <c:pt idx="15">
                  <c:v>1985</c:v>
                </c:pt>
                <c:pt idx="16">
                  <c:v>1986</c:v>
                </c:pt>
                <c:pt idx="17">
                  <c:v>1987</c:v>
                </c:pt>
                <c:pt idx="18">
                  <c:v>1988</c:v>
                </c:pt>
                <c:pt idx="19">
                  <c:v>1989</c:v>
                </c:pt>
                <c:pt idx="20">
                  <c:v>1990</c:v>
                </c:pt>
                <c:pt idx="21">
                  <c:v>1991</c:v>
                </c:pt>
                <c:pt idx="22">
                  <c:v>1992</c:v>
                </c:pt>
                <c:pt idx="23">
                  <c:v>1993</c:v>
                </c:pt>
                <c:pt idx="24">
                  <c:v>1994</c:v>
                </c:pt>
                <c:pt idx="25">
                  <c:v>1995</c:v>
                </c:pt>
                <c:pt idx="26">
                  <c:v>1996</c:v>
                </c:pt>
                <c:pt idx="27">
                  <c:v>1997</c:v>
                </c:pt>
                <c:pt idx="28">
                  <c:v>1998</c:v>
                </c:pt>
                <c:pt idx="29">
                  <c:v>1999</c:v>
                </c:pt>
                <c:pt idx="30">
                  <c:v>2000</c:v>
                </c:pt>
                <c:pt idx="31">
                  <c:v>2001</c:v>
                </c:pt>
                <c:pt idx="32">
                  <c:v>2002</c:v>
                </c:pt>
                <c:pt idx="33">
                  <c:v>2003</c:v>
                </c:pt>
                <c:pt idx="34">
                  <c:v>2004</c:v>
                </c:pt>
                <c:pt idx="35">
                  <c:v>2005</c:v>
                </c:pt>
                <c:pt idx="36">
                  <c:v>2006</c:v>
                </c:pt>
                <c:pt idx="37">
                  <c:v>2007</c:v>
                </c:pt>
                <c:pt idx="38">
                  <c:v>2008</c:v>
                </c:pt>
                <c:pt idx="39">
                  <c:v>2009</c:v>
                </c:pt>
                <c:pt idx="40">
                  <c:v>2010</c:v>
                </c:pt>
                <c:pt idx="41">
                  <c:v>2011</c:v>
                </c:pt>
                <c:pt idx="42">
                  <c:v>2012</c:v>
                </c:pt>
                <c:pt idx="43">
                  <c:v>2013</c:v>
                </c:pt>
                <c:pt idx="44">
                  <c:v>2014</c:v>
                </c:pt>
              </c:strCache>
            </c:strRef>
          </c:cat>
          <c:val>
            <c:numRef>
              <c:f>'Actual vs Fitted'!$C$5:$C$47</c:f>
              <c:numCache>
                <c:formatCode>_(* #,##0.00000_);_(* \(#,##0.00000\);_(* "-"??_);_(@_)</c:formatCode>
                <c:ptCount val="43"/>
                <c:pt idx="0">
                  <c:v>24.591674132008009</c:v>
                </c:pt>
                <c:pt idx="1">
                  <c:v>24.392849631147222</c:v>
                </c:pt>
                <c:pt idx="2">
                  <c:v>24.293437380716828</c:v>
                </c:pt>
                <c:pt idx="3">
                  <c:v>24.293437380716828</c:v>
                </c:pt>
                <c:pt idx="4">
                  <c:v>24.392849631147222</c:v>
                </c:pt>
                <c:pt idx="5">
                  <c:v>24.492261881577615</c:v>
                </c:pt>
                <c:pt idx="6">
                  <c:v>24.591674132008009</c:v>
                </c:pt>
                <c:pt idx="7">
                  <c:v>24.790498632868793</c:v>
                </c:pt>
                <c:pt idx="8">
                  <c:v>24.889910883299187</c:v>
                </c:pt>
                <c:pt idx="9">
                  <c:v>25.088735384159975</c:v>
                </c:pt>
                <c:pt idx="10">
                  <c:v>25.287559885020759</c:v>
                </c:pt>
                <c:pt idx="11">
                  <c:v>25.386972135451156</c:v>
                </c:pt>
                <c:pt idx="12">
                  <c:v>25.58579663631194</c:v>
                </c:pt>
                <c:pt idx="13">
                  <c:v>25.784621137172724</c:v>
                </c:pt>
                <c:pt idx="14">
                  <c:v>25.884033387603122</c:v>
                </c:pt>
                <c:pt idx="15">
                  <c:v>25.983445638033512</c:v>
                </c:pt>
                <c:pt idx="16">
                  <c:v>26.082857888463906</c:v>
                </c:pt>
                <c:pt idx="17">
                  <c:v>26.28168238932469</c:v>
                </c:pt>
                <c:pt idx="18">
                  <c:v>26.1822701388943</c:v>
                </c:pt>
                <c:pt idx="19">
                  <c:v>26.28168238932469</c:v>
                </c:pt>
                <c:pt idx="20">
                  <c:v>26.381094639755087</c:v>
                </c:pt>
                <c:pt idx="21">
                  <c:v>26.480506890185477</c:v>
                </c:pt>
                <c:pt idx="22">
                  <c:v>26.679331391046265</c:v>
                </c:pt>
                <c:pt idx="23">
                  <c:v>26.778743641476659</c:v>
                </c:pt>
                <c:pt idx="24">
                  <c:v>26.977568142337443</c:v>
                </c:pt>
                <c:pt idx="25">
                  <c:v>27.076980392767837</c:v>
                </c:pt>
                <c:pt idx="26">
                  <c:v>27.176392643198231</c:v>
                </c:pt>
                <c:pt idx="27">
                  <c:v>27.176392643198231</c:v>
                </c:pt>
                <c:pt idx="28">
                  <c:v>27.275804893628624</c:v>
                </c:pt>
                <c:pt idx="29">
                  <c:v>27.375217144059018</c:v>
                </c:pt>
                <c:pt idx="30">
                  <c:v>27.474629394489408</c:v>
                </c:pt>
                <c:pt idx="31">
                  <c:v>27.574041644919802</c:v>
                </c:pt>
                <c:pt idx="32">
                  <c:v>27.574041644919802</c:v>
                </c:pt>
                <c:pt idx="33">
                  <c:v>27.574041644919802</c:v>
                </c:pt>
                <c:pt idx="34">
                  <c:v>27.574041644919802</c:v>
                </c:pt>
                <c:pt idx="35">
                  <c:v>27.474629394489408</c:v>
                </c:pt>
                <c:pt idx="36">
                  <c:v>27.474629394489408</c:v>
                </c:pt>
                <c:pt idx="37">
                  <c:v>27.474629394489408</c:v>
                </c:pt>
                <c:pt idx="38">
                  <c:v>27.375217144059018</c:v>
                </c:pt>
                <c:pt idx="39">
                  <c:v>27.474629394489408</c:v>
                </c:pt>
                <c:pt idx="40">
                  <c:v>27.6734538953502</c:v>
                </c:pt>
                <c:pt idx="41">
                  <c:v>27.6734538953502</c:v>
                </c:pt>
                <c:pt idx="42">
                  <c:v>27.872278396210984</c:v>
                </c:pt>
              </c:numCache>
            </c:numRef>
          </c:val>
          <c:smooth val="0"/>
        </c:ser>
        <c:dLbls>
          <c:showLegendKey val="0"/>
          <c:showVal val="0"/>
          <c:showCatName val="0"/>
          <c:showSerName val="0"/>
          <c:showPercent val="0"/>
          <c:showBubbleSize val="0"/>
        </c:dLbls>
        <c:marker val="1"/>
        <c:smooth val="0"/>
        <c:axId val="298138064"/>
        <c:axId val="298138624"/>
      </c:lineChart>
      <c:catAx>
        <c:axId val="298138064"/>
        <c:scaling>
          <c:orientation val="minMax"/>
        </c:scaling>
        <c:delete val="0"/>
        <c:axPos val="b"/>
        <c:numFmt formatCode="General" sourceLinked="0"/>
        <c:majorTickMark val="out"/>
        <c:minorTickMark val="none"/>
        <c:tickLblPos val="nextTo"/>
        <c:crossAx val="298138624"/>
        <c:crosses val="autoZero"/>
        <c:auto val="1"/>
        <c:lblAlgn val="ctr"/>
        <c:lblOffset val="100"/>
        <c:noMultiLvlLbl val="0"/>
      </c:catAx>
      <c:valAx>
        <c:axId val="298138624"/>
        <c:scaling>
          <c:orientation val="minMax"/>
        </c:scaling>
        <c:delete val="0"/>
        <c:axPos val="l"/>
        <c:majorGridlines/>
        <c:numFmt formatCode="_(* #,##0.0_);_(* \(#,##0.0\);_(* &quot;-&quot;??_);_(@_)" sourceLinked="1"/>
        <c:majorTickMark val="out"/>
        <c:minorTickMark val="none"/>
        <c:tickLblPos val="nextTo"/>
        <c:crossAx val="298138064"/>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3A1CC0-DF2A-48D1-BB12-EFB1BB4653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753</Words>
  <Characters>4293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Ernst &amp; Young</Company>
  <LinksUpToDate>false</LinksUpToDate>
  <CharactersWithSpaces>5036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Natasha Forde</dc:creator>
  <cp:lastModifiedBy>Liberty Mutual</cp:lastModifiedBy>
  <cp:revision>2</cp:revision>
  <dcterms:created xsi:type="dcterms:W3CDTF">2016-12-16T02:21:00Z</dcterms:created>
  <dcterms:modified xsi:type="dcterms:W3CDTF">2016-12-16T02:21:00Z</dcterms:modified>
</cp:coreProperties>
</file>